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center"/>
        <w:rPr>
          <w:rFonts w:hint="eastAsia" w:ascii="宋体" w:hAnsi="宋体" w:cs="宋体"/>
          <w:color w:val="000000"/>
          <w:sz w:val="32"/>
          <w:highlight w:val="none"/>
        </w:rPr>
      </w:pPr>
      <w:r>
        <w:rPr>
          <w:rFonts w:hint="eastAsia" w:ascii="宋体" w:hAnsi="宋体" w:cs="宋体"/>
          <w:b/>
          <w:snapToGrid/>
          <w:color w:val="000000"/>
          <w:kern w:val="44"/>
          <w:sz w:val="32"/>
          <w:highlight w:val="none"/>
          <w:lang w:val="en-US" w:eastAsia="zh-CN"/>
        </w:rPr>
        <w:t>弱电零星工程采购</w:t>
      </w:r>
      <w:r>
        <w:rPr>
          <w:rFonts w:hint="eastAsia" w:ascii="宋体" w:hAnsi="宋体" w:cs="宋体"/>
          <w:b/>
          <w:snapToGrid/>
          <w:color w:val="000000"/>
          <w:kern w:val="44"/>
          <w:sz w:val="32"/>
          <w:highlight w:val="none"/>
        </w:rPr>
        <w:t>需求</w:t>
      </w:r>
    </w:p>
    <w:p>
      <w:pPr>
        <w:adjustRightInd w:val="0"/>
        <w:snapToGrid w:val="0"/>
        <w:spacing w:line="360" w:lineRule="auto"/>
        <w:ind w:firstLine="422" w:firstLineChars="200"/>
        <w:rPr>
          <w:rFonts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一、总体要求</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1、浙江省肿瘤医院弱电零星工程维护安装项目，范围半山总部院区和机场路分院区内办公室、各场所等地方综合布线系统的零星点位增加，移位调整布局要求进行现场布线安装，对各住院病房医护对讲系统、</w:t>
      </w:r>
      <w:r>
        <w:rPr>
          <w:rFonts w:hint="eastAsia" w:ascii="宋体" w:hAnsi="宋体" w:cs="宋体"/>
          <w:color w:val="000000"/>
          <w:szCs w:val="21"/>
          <w:highlight w:val="none"/>
          <w:lang w:val="en-US" w:eastAsia="zh-CN"/>
        </w:rPr>
        <w:t>医护紧急求助无线按钮报警（来邦品牌）、</w:t>
      </w:r>
      <w:r>
        <w:rPr>
          <w:rFonts w:hint="eastAsia" w:ascii="宋体" w:hAnsi="宋体" w:cs="宋体"/>
          <w:color w:val="000000"/>
          <w:szCs w:val="21"/>
          <w:highlight w:val="none"/>
        </w:rPr>
        <w:t>公共广播</w:t>
      </w:r>
      <w:r>
        <w:rPr>
          <w:rFonts w:hint="eastAsia" w:ascii="宋体" w:hAnsi="宋体" w:cs="宋体"/>
          <w:color w:val="000000"/>
          <w:szCs w:val="21"/>
          <w:highlight w:val="none"/>
          <w:lang w:val="en-US" w:eastAsia="zh-CN"/>
        </w:rPr>
        <w:t>和门诊服务台</w:t>
      </w:r>
      <w:r>
        <w:rPr>
          <w:rFonts w:hint="eastAsia" w:ascii="宋体" w:hAnsi="宋体" w:cs="宋体"/>
          <w:color w:val="000000"/>
          <w:szCs w:val="21"/>
          <w:highlight w:val="none"/>
        </w:rPr>
        <w:t>喊话系统</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迪士普品牌）</w:t>
      </w:r>
      <w:r>
        <w:rPr>
          <w:rFonts w:hint="eastAsia" w:ascii="宋体" w:hAnsi="宋体" w:cs="宋体"/>
          <w:color w:val="000000"/>
          <w:szCs w:val="21"/>
          <w:highlight w:val="none"/>
        </w:rPr>
        <w:t>、窗口对讲设备、无线</w:t>
      </w:r>
      <w:r>
        <w:rPr>
          <w:rFonts w:hint="eastAsia" w:ascii="宋体" w:hAnsi="宋体" w:cs="宋体"/>
          <w:color w:val="000000"/>
          <w:szCs w:val="21"/>
          <w:highlight w:val="none"/>
          <w:lang w:val="en-US" w:eastAsia="zh-CN"/>
        </w:rPr>
        <w:t>网络</w:t>
      </w:r>
      <w:r>
        <w:rPr>
          <w:rFonts w:hint="eastAsia" w:ascii="宋体" w:hAnsi="宋体" w:cs="宋体"/>
          <w:color w:val="000000"/>
          <w:szCs w:val="21"/>
          <w:highlight w:val="none"/>
        </w:rPr>
        <w:t>系统</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锐捷品牌）</w:t>
      </w:r>
      <w:r>
        <w:rPr>
          <w:rFonts w:hint="eastAsia" w:ascii="宋体" w:hAnsi="宋体" w:cs="宋体"/>
          <w:color w:val="000000"/>
          <w:szCs w:val="21"/>
          <w:highlight w:val="none"/>
        </w:rPr>
        <w:t>的前端硬件安装更换及零星改造项目提供维护、采购含安装的服务。</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1、供应商具有本项目的履约服务能力：</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1）具有类似零星工程维保实施业绩；</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2、供应商应根据本项目医疗场所特殊施工环境制定相应的服务方案，并充分考虑以下方面：</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仿宋"/>
          <w:color w:val="000000"/>
          <w:szCs w:val="21"/>
          <w:highlight w:val="none"/>
        </w:rPr>
        <w:t>针对采购人特点制定详细服务方案的内容，包括但不限于对现场情况的了解程度、服务工作描述、具体服务措施、服务特点及自身优势等</w:t>
      </w:r>
      <w:r>
        <w:rPr>
          <w:rFonts w:hint="eastAsia" w:ascii="宋体" w:hAnsi="宋体" w:cs="宋体"/>
          <w:color w:val="000000"/>
          <w:szCs w:val="21"/>
          <w:highlight w:val="none"/>
        </w:rPr>
        <w:t>；</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仿宋"/>
          <w:color w:val="000000"/>
          <w:szCs w:val="21"/>
          <w:highlight w:val="none"/>
        </w:rPr>
        <w:t>针对本项目运行维护的思路、原则、特点的理解以及对维保工作重点内容等；</w:t>
      </w:r>
    </w:p>
    <w:p>
      <w:pPr>
        <w:snapToGrid w:val="0"/>
        <w:spacing w:line="360" w:lineRule="auto"/>
        <w:ind w:firstLine="420" w:firstLineChars="200"/>
        <w:rPr>
          <w:rFonts w:hint="eastAsia" w:ascii="宋体" w:hAnsi="宋体"/>
          <w:color w:val="000000"/>
          <w:szCs w:val="22"/>
          <w:highlight w:val="none"/>
        </w:rPr>
      </w:pPr>
      <w:r>
        <w:rPr>
          <w:rFonts w:hint="eastAsia" w:ascii="宋体" w:hAnsi="宋体"/>
          <w:color w:val="000000"/>
          <w:szCs w:val="22"/>
          <w:highlight w:val="none"/>
        </w:rPr>
        <w:t>3）人员安排：结合本次采购内容需求，明确施工管理人员和施工人员配置、工程师数量，项目组成员具有专业厂家售后能力等；</w:t>
      </w:r>
    </w:p>
    <w:p>
      <w:pPr>
        <w:snapToGrid w:val="0"/>
        <w:spacing w:line="360" w:lineRule="auto"/>
        <w:ind w:firstLine="420" w:firstLineChars="200"/>
        <w:rPr>
          <w:rFonts w:hint="eastAsia" w:ascii="宋体" w:hAnsi="宋体" w:cs="仿宋"/>
          <w:color w:val="000000"/>
          <w:szCs w:val="21"/>
          <w:highlight w:val="none"/>
        </w:rPr>
      </w:pPr>
      <w:r>
        <w:rPr>
          <w:rFonts w:hint="eastAsia" w:ascii="宋体" w:hAnsi="宋体"/>
          <w:color w:val="000000"/>
          <w:szCs w:val="22"/>
          <w:highlight w:val="none"/>
        </w:rPr>
        <w:t>4）</w:t>
      </w:r>
      <w:r>
        <w:rPr>
          <w:rFonts w:hint="eastAsia" w:ascii="宋体" w:hAnsi="宋体" w:cs="仿宋"/>
          <w:color w:val="000000"/>
          <w:szCs w:val="21"/>
          <w:highlight w:val="none"/>
        </w:rPr>
        <w:t>设备运行使用的质量保障措施及项目服务过程中可能涉及的应急处置方案，应当包括具体可行的质量保障措施以及应急处置方案流程等内容；</w:t>
      </w:r>
    </w:p>
    <w:p>
      <w:pPr>
        <w:snapToGrid w:val="0"/>
        <w:spacing w:line="360" w:lineRule="auto"/>
        <w:ind w:firstLine="420" w:firstLineChars="200"/>
        <w:rPr>
          <w:rFonts w:hint="eastAsia"/>
          <w:color w:val="000000"/>
          <w:highlight w:val="none"/>
        </w:rPr>
      </w:pPr>
      <w:r>
        <w:rPr>
          <w:rFonts w:hint="eastAsia"/>
          <w:color w:val="000000"/>
          <w:highlight w:val="none"/>
        </w:rPr>
        <w:t>5）</w:t>
      </w:r>
      <w:r>
        <w:rPr>
          <w:rFonts w:hint="eastAsia" w:ascii="宋体" w:hAnsi="宋体" w:cs="宋体"/>
          <w:color w:val="000000"/>
          <w:szCs w:val="21"/>
          <w:highlight w:val="none"/>
        </w:rPr>
        <w:t>维护计划：对用户故障的响应要求1小时到达现场处理、制定定期巡检方案；</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6）安全警示、施工围挡、安全文明施工及医院内的环境、消防保证措施、施工的降噪措施；</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仿宋"/>
          <w:color w:val="000000"/>
          <w:szCs w:val="21"/>
          <w:highlight w:val="none"/>
        </w:rPr>
        <w:t>服务承诺的保障措施，能提供快速的售后服务响应和备机备件措施，包括紧急或普通情况下售后服务响应时间,紧急或普通情况下的具体响应措施以及针对本项目的备机备件的数量、设备参数性能介绍等。</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8）院感感染风险评和对应的感染风险控制措施；</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9）材料的选择：材料品牌选用与质量承诺，材料的进货渠道及质量保障；</w:t>
      </w:r>
    </w:p>
    <w:p>
      <w:pPr>
        <w:snapToGrid w:val="0"/>
        <w:spacing w:line="360" w:lineRule="auto"/>
        <w:ind w:firstLine="420" w:firstLineChars="200"/>
        <w:rPr>
          <w:rFonts w:hint="eastAsia"/>
          <w:color w:val="000000"/>
          <w:highlight w:val="none"/>
        </w:rPr>
      </w:pPr>
      <w:r>
        <w:rPr>
          <w:rFonts w:hint="eastAsia" w:ascii="宋体" w:hAnsi="宋体" w:cs="宋体"/>
          <w:color w:val="000000"/>
          <w:szCs w:val="21"/>
          <w:highlight w:val="none"/>
        </w:rPr>
        <w:t>3、提供</w:t>
      </w:r>
      <w:r>
        <w:rPr>
          <w:rFonts w:hint="eastAsia"/>
          <w:color w:val="000000"/>
          <w:highlight w:val="none"/>
        </w:rPr>
        <w:t>针对本项目的应急预案；</w:t>
      </w:r>
    </w:p>
    <w:p>
      <w:pPr>
        <w:snapToGrid w:val="0"/>
        <w:spacing w:line="360" w:lineRule="auto"/>
        <w:ind w:firstLine="420" w:firstLineChars="200"/>
        <w:rPr>
          <w:color w:val="000000"/>
          <w:highlight w:val="none"/>
        </w:rPr>
      </w:pPr>
      <w:r>
        <w:rPr>
          <w:rFonts w:hint="eastAsia"/>
          <w:color w:val="000000"/>
          <w:highlight w:val="none"/>
        </w:rPr>
        <w:t>4、</w:t>
      </w:r>
      <w:r>
        <w:rPr>
          <w:rFonts w:hint="eastAsia" w:ascii="宋体" w:hAnsi="宋体" w:cs="宋体"/>
          <w:color w:val="000000"/>
          <w:szCs w:val="21"/>
          <w:highlight w:val="none"/>
        </w:rPr>
        <w:t>针对本项目特点给采购人提供合理化建议和相关承诺。</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5、由施工引起的各类设施、设备损坏，以及其他可能造成损坏的内容，由供应商负责修复并承担可能发生的成本费用等</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pPr>
        <w:spacing w:line="360" w:lineRule="auto"/>
        <w:ind w:firstLine="420" w:firstLineChars="200"/>
        <w:rPr>
          <w:color w:val="000000"/>
          <w:highlight w:val="none"/>
        </w:rPr>
      </w:pPr>
      <w:r>
        <w:rPr>
          <w:rFonts w:hint="eastAsia"/>
          <w:color w:val="000000"/>
          <w:highlight w:val="none"/>
        </w:rPr>
        <w:t>7、由于本项为零星维修项目，要保证投标的品牌和型号能与医院现有系统兼容，供应商可自行现场踏勘，了解采购人现有的设备品牌，包括但不限于</w:t>
      </w:r>
      <w:r>
        <w:rPr>
          <w:rFonts w:hint="eastAsia"/>
          <w:color w:val="000000"/>
          <w:highlight w:val="none"/>
          <w:lang w:val="en-US" w:eastAsia="zh-CN"/>
        </w:rPr>
        <w:t>综合布线系统、无线网络系统、病床呼叫</w:t>
      </w:r>
      <w:r>
        <w:rPr>
          <w:rFonts w:hint="eastAsia"/>
          <w:color w:val="000000"/>
          <w:highlight w:val="none"/>
        </w:rPr>
        <w:t>系统</w:t>
      </w:r>
      <w:r>
        <w:rPr>
          <w:rFonts w:hint="eastAsia"/>
          <w:color w:val="000000"/>
          <w:highlight w:val="none"/>
          <w:lang w:eastAsia="zh-CN"/>
        </w:rPr>
        <w:t>、</w:t>
      </w:r>
      <w:r>
        <w:rPr>
          <w:rFonts w:hint="eastAsia"/>
          <w:color w:val="000000"/>
          <w:highlight w:val="none"/>
          <w:lang w:val="en-US" w:eastAsia="zh-CN"/>
        </w:rPr>
        <w:t>卫生间紧急求助系统、门诊叫号广播系统</w:t>
      </w:r>
      <w:r>
        <w:rPr>
          <w:rFonts w:hint="eastAsia"/>
          <w:color w:val="000000"/>
          <w:highlight w:val="none"/>
        </w:rPr>
        <w:t>等。</w:t>
      </w:r>
    </w:p>
    <w:p>
      <w:pPr>
        <w:adjustRightInd w:val="0"/>
        <w:snapToGrid w:val="0"/>
        <w:spacing w:line="360" w:lineRule="auto"/>
        <w:ind w:firstLine="420" w:firstLineChars="200"/>
        <w:rPr>
          <w:color w:val="000000"/>
          <w:highlight w:val="none"/>
        </w:rPr>
      </w:pPr>
      <w:r>
        <w:rPr>
          <w:rFonts w:hint="eastAsia"/>
          <w:color w:val="000000"/>
          <w:highlight w:val="none"/>
        </w:rPr>
        <w:t>8、根据浙江省肿瘤医院对外委托服务管理要求，采购人每年对供应商进行</w:t>
      </w:r>
      <w:r>
        <w:rPr>
          <w:color w:val="000000"/>
          <w:highlight w:val="none"/>
        </w:rPr>
        <w:t>2</w:t>
      </w:r>
      <w:r>
        <w:rPr>
          <w:rFonts w:hint="eastAsia"/>
          <w:color w:val="000000"/>
          <w:highlight w:val="none"/>
        </w:rPr>
        <w:t>次服务质量考评，考评质量不合格的，需及时整改，再次考评仍不合格的，采购人有权终止合同，供应商应承担过渡期间全部费用。</w:t>
      </w:r>
    </w:p>
    <w:p>
      <w:pPr>
        <w:adjustRightInd w:val="0"/>
        <w:snapToGrid w:val="0"/>
        <w:spacing w:line="360" w:lineRule="auto"/>
        <w:ind w:firstLine="422" w:firstLineChars="200"/>
        <w:rPr>
          <w:rFonts w:hint="eastAsia"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二、工程费用结算及磋商报价</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1、本项目的磋商报价采用综合单价的方式进行报价。</w:t>
      </w:r>
    </w:p>
    <w:p>
      <w:pPr>
        <w:snapToGrid w:val="0"/>
        <w:spacing w:line="360" w:lineRule="auto"/>
        <w:ind w:firstLine="422" w:firstLineChars="200"/>
        <w:rPr>
          <w:b/>
          <w:bCs/>
          <w:color w:val="000000"/>
          <w:highlight w:val="none"/>
        </w:rPr>
      </w:pPr>
      <w:r>
        <w:rPr>
          <w:rFonts w:hint="eastAsia"/>
          <w:b/>
          <w:bCs/>
          <w:color w:val="000000"/>
          <w:highlight w:val="none"/>
        </w:rPr>
        <w:t>报价1：按照附表暂定工作量和每项综合单价进行组价。</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磋商报价中应包括完成该工程的人工、机械、水电、劳务、管理、主材、辅材、运输、安装、保修、垃圾清运、措施（如临时措施、环境保护、成品保护等）、保险、利润、税金、政策性文件规定及合同包含的所有风险、责任等各项应有费用。供应商应根据竞争性磋商文件要求、采购人组织的现场踏勘实际情况、自身的综合实力，自由竞报磋商报价并承担相应的风险责任。</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报价2：零星人工费供应商报综合单价（含税）元/人日。</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2、项目结算：</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2.1工程量按实结算，工程量有施工图纸的按施工图纸计算，无施工图纸的由施工单位出施工图并经业主审核后按施工图纸计算，不能出施工图纸的按现场实际测量或经业主签证的其他方式计算工程量。</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2.2本工程采用固定综合单价结算方法，工程量按实结算。根据最终报价同比例下浮后的价格结算方法（联系单同比例下浮），最终以审计为准。项目送审结算由成交供应商出具提交给采购人，经审计审核确定。施工用水、用电由业主方提供，结算时要扣除施工用水、用电费用。水电费用按照工程审定价的千分之三计算。</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2.3季度结算送审要求：每季度送审资料需在下个季度结束前完成送审。</w:t>
      </w:r>
    </w:p>
    <w:p>
      <w:pPr>
        <w:snapToGrid w:val="0"/>
        <w:spacing w:line="360" w:lineRule="auto"/>
        <w:ind w:firstLine="422" w:firstLineChars="200"/>
        <w:rPr>
          <w:rFonts w:hint="eastAsia" w:ascii="宋体" w:hAnsi="宋体" w:cs="宋体"/>
          <w:color w:val="000000"/>
          <w:szCs w:val="21"/>
          <w:highlight w:val="none"/>
        </w:rPr>
      </w:pPr>
      <w:r>
        <w:rPr>
          <w:rFonts w:hint="eastAsia" w:ascii="宋体" w:hAnsi="宋体" w:cs="宋体"/>
          <w:b/>
          <w:color w:val="000000"/>
          <w:szCs w:val="21"/>
          <w:highlight w:val="none"/>
        </w:rPr>
        <w:t>三、工程质量要求</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1、工程质量必须符合国家的有关质量验收标准，达到合格要求。</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质保期自验收之日起两年。在免费保修期内，成交供应商对有缺陷的部位必须无偿地给予修理与更换，并承担一切由此引起的对采购人或第三者的直接损失，除非该缺陷是由于人为破坏或合同规定的不可抗力因素造成的损坏。</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3、成交供应商必须对所承包的工程的质量负全部责任，其责任不因其他材料生产商提供的保证书而减轻或更改。</w:t>
      </w:r>
    </w:p>
    <w:p>
      <w:pPr>
        <w:adjustRightInd w:val="0"/>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四、施工工期</w:t>
      </w:r>
    </w:p>
    <w:p>
      <w:pPr>
        <w:snapToGrid w:val="0"/>
        <w:spacing w:line="360" w:lineRule="auto"/>
        <w:ind w:firstLine="420" w:firstLineChars="200"/>
        <w:rPr>
          <w:rFonts w:hint="eastAsia" w:ascii="宋体" w:hAnsi="宋体" w:cs="宋体"/>
          <w:color w:val="000000"/>
          <w:szCs w:val="21"/>
          <w:highlight w:val="none"/>
        </w:rPr>
      </w:pPr>
      <w:bookmarkStart w:id="0" w:name="_Toc339532102"/>
      <w:bookmarkStart w:id="1" w:name="_Toc339532066"/>
      <w:r>
        <w:rPr>
          <w:rFonts w:hint="eastAsia" w:ascii="宋体" w:hAnsi="宋体" w:cs="宋体"/>
          <w:color w:val="000000"/>
          <w:szCs w:val="21"/>
          <w:highlight w:val="none"/>
        </w:rPr>
        <w:t>1、施工工期须严格按照浙江省肿瘤医院的合理要求，不得拖延工期。</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2、本工程的关键在于及时性，供应商应当具有施工维修经验和综合的抢修处理能力。</w:t>
      </w:r>
    </w:p>
    <w:p>
      <w:pPr>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五、</w:t>
      </w:r>
      <w:r>
        <w:rPr>
          <w:rFonts w:hint="eastAsia" w:ascii="宋体" w:hAnsi="宋体" w:cs="宋体"/>
          <w:b/>
          <w:color w:val="000000"/>
          <w:szCs w:val="21"/>
          <w:highlight w:val="none"/>
        </w:rPr>
        <w:t>服务期</w:t>
      </w:r>
    </w:p>
    <w:bookmarkEnd w:id="0"/>
    <w:bookmarkEnd w:id="1"/>
    <w:p>
      <w:pPr>
        <w:snapToGrid w:val="0"/>
        <w:spacing w:line="360" w:lineRule="auto"/>
        <w:ind w:firstLine="420" w:firstLineChars="200"/>
        <w:rPr>
          <w:rFonts w:hint="eastAsia"/>
          <w:color w:val="000000"/>
          <w:highlight w:val="none"/>
        </w:rPr>
      </w:pPr>
      <w:r>
        <w:rPr>
          <w:rFonts w:hint="eastAsia" w:ascii="宋体" w:hAnsi="宋体"/>
          <w:color w:val="000000"/>
          <w:szCs w:val="21"/>
          <w:highlight w:val="none"/>
        </w:rPr>
        <w:t>合同预算额度用完为止，服务期最长不超过1年。</w:t>
      </w:r>
    </w:p>
    <w:p>
      <w:pPr>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六、施工要求</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1、尊重工作人员的安排，协商施工。</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2、有噪声的施工项目应提前告知采购人。具体应服从采购人安排。</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3、加强对施工人员的安全教育，施工人员必须有安全保障，实施全程安全监管，施工区域应有标准提示牌。</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4、施工时造成不必要的其它损坏，由采购人认定后按实际赔偿。</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5、施工人员资料必须报备采购人审核。</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6、注重文明施工。施工人员施工必须服从采购人人员安排，文明施工，尘埃控制及遮挡必须到位。</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7、施工期间及质保期内，由于设备安装问题造成采购人或者第三方损失，由成交单位负责。</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8、施工人员要求：必须严格遵守国家法律法规施工规范要求、工种安排全面、合理。</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9、施工期间，材料、人员进出不得影响发包人的工作秩序。</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10、供应商必须保质保量按期完成施工任务,供应商应采取相关的施工组织和技术措施，确保按时完成施工任务。</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11、本工程位于医院内,医疗场所特殊施工环境需要成交单位应在施工过程中采取必要的降噪措施和防尘措施，不得干扰医院的正常工作秩序。</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12、供应商应对施工现场进行踏勘，充分了解建筑物结构、现场情况等，对技术难度和安全性引起特别重视。</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13、大件材料的运输，按照医院要求合理安排运输时间。</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14、成交单位有责任为采购人等进行工程检查时免费提供安全保护用具和各种设施的方便。</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15、磋商范围内的垃圾清运由供应商自行负责处理，倾倒至政府规定合法地点，运距自行考虑。</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16、施工人员应到采购人登记备案，施工期间如要动用明火施工单位必须得到采购人审批。</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17、管线部分应暗敷，如确须明敷报采购人同意后方可实施。</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18、合理安排施工进度。</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19、施工材料优先考虑节能环保材料。</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20、医院感染管理要求：施工现场的感染控制管理，按照院感科感染风险评估结果和对应的感染风险控制措施执行。</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21、施工时注意做好必要的劳动保护工作。</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22、维修改造工作不得影响医院正常医务工作。如需要按医院管理要求临时调整施工时间、施工作业环境的种种不利因素等均由供应商考虑，并将所需费用包含在磋商报价中。</w:t>
      </w:r>
    </w:p>
    <w:p>
      <w:pPr>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七、管理人员要求</w:t>
      </w:r>
    </w:p>
    <w:p>
      <w:pPr>
        <w:adjustRightInd w:val="0"/>
        <w:snapToGrid w:val="0"/>
        <w:spacing w:line="360" w:lineRule="auto"/>
        <w:ind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拟派项目经理具有机电工程专业二级及以上建造师执业资格；且在磋商截止日前存在其他任何在建合同工程上担任项目经理的，不得以拟派项目经理的身份参加本次磋商。</w:t>
      </w:r>
    </w:p>
    <w:p>
      <w:pPr>
        <w:snapToGrid w:val="0"/>
        <w:spacing w:line="360" w:lineRule="auto"/>
        <w:ind w:firstLine="422" w:firstLineChars="200"/>
        <w:rPr>
          <w:rFonts w:hint="eastAsia" w:ascii="宋体" w:hAnsi="宋体" w:cs="宋体"/>
          <w:b/>
          <w:color w:val="000000"/>
          <w:szCs w:val="21"/>
          <w:highlight w:val="none"/>
        </w:rPr>
      </w:pPr>
      <w:bookmarkStart w:id="2" w:name="_Toc479705459"/>
      <w:bookmarkStart w:id="3" w:name="_Toc471994779"/>
      <w:bookmarkStart w:id="4" w:name="_Toc479705406"/>
      <w:bookmarkStart w:id="5" w:name="_Toc450810609"/>
      <w:r>
        <w:rPr>
          <w:rFonts w:hint="eastAsia" w:ascii="宋体" w:hAnsi="宋体" w:cs="宋体"/>
          <w:b/>
          <w:color w:val="000000"/>
          <w:szCs w:val="21"/>
          <w:highlight w:val="none"/>
        </w:rPr>
        <w:t>八、主要材料要求</w:t>
      </w:r>
      <w:bookmarkEnd w:id="2"/>
      <w:bookmarkEnd w:id="3"/>
      <w:bookmarkEnd w:id="4"/>
      <w:bookmarkEnd w:id="5"/>
    </w:p>
    <w:p>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8.1材料选择</w:t>
      </w:r>
    </w:p>
    <w:p>
      <w:pPr>
        <w:numPr>
          <w:ilvl w:val="0"/>
          <w:numId w:val="1"/>
        </w:num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采购人提供采购清单附后。</w:t>
      </w:r>
    </w:p>
    <w:p>
      <w:pPr>
        <w:numPr>
          <w:ilvl w:val="0"/>
          <w:numId w:val="1"/>
        </w:num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若采购人无指定品牌，各供应商必须根据设计施工图的要求及意图按中高档的用材标准进行选材并报价，所有设备材料要求在行业内具有一定知名度的品牌。</w:t>
      </w:r>
    </w:p>
    <w:p>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（3）所有材料必须在原厂生产加工，不允许采用下属、联营、协作、控股厂家产品投标和实际使用。</w:t>
      </w:r>
    </w:p>
    <w:p>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（4）所有提供的材料必须是优等品或“A”级品。</w:t>
      </w:r>
    </w:p>
    <w:p>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（5）所有提供的材料必须符合环保标准。</w:t>
      </w:r>
    </w:p>
    <w:p>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8.2材料的质量要求：</w:t>
      </w:r>
    </w:p>
    <w:p>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pPr>
        <w:tabs>
          <w:tab w:val="left" w:pos="0"/>
        </w:tabs>
        <w:adjustRightInd w:val="0"/>
        <w:snapToGrid w:val="0"/>
        <w:spacing w:line="360" w:lineRule="auto"/>
        <w:ind w:firstLine="420" w:firstLineChars="200"/>
        <w:rPr>
          <w:rFonts w:hint="eastAsia" w:ascii="宋体" w:hAnsi="宋体" w:cs="宋体"/>
          <w:b/>
          <w:color w:val="000000"/>
          <w:szCs w:val="21"/>
          <w:highlight w:val="none"/>
        </w:rPr>
      </w:pPr>
      <w:r>
        <w:rPr>
          <w:rFonts w:hint="eastAsia" w:ascii="宋体" w:hAnsi="宋体" w:cs="宋体"/>
          <w:color w:val="000000"/>
          <w:szCs w:val="21"/>
          <w:highlight w:val="none"/>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pPr>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九、服务验收</w:t>
      </w:r>
    </w:p>
    <w:p>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1、每个零星点位安装都需采购人进行验收签字确认，要严格按照采购人要求的时间施工，并且符合弱电施工规范，达到采购人要求的工艺水平。</w:t>
      </w:r>
    </w:p>
    <w:p>
      <w:pPr>
        <w:tabs>
          <w:tab w:val="left" w:pos="0"/>
        </w:tabs>
        <w:adjustRightInd w:val="0"/>
        <w:snapToGrid w:val="0"/>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施工单位需在每季度施工验收合格后15天内完成项目送审，每延迟一天扣除送审价格0.5%，最高不超过5%；</w:t>
      </w:r>
    </w:p>
    <w:p>
      <w:pPr>
        <w:snapToGrid w:val="0"/>
        <w:spacing w:line="360" w:lineRule="auto"/>
        <w:ind w:firstLine="420" w:firstLineChars="200"/>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3、施工单位对审计结果有异议的，必须在收到审计稿15个工作日内按甲方要求提交纸质工程结算审计稿异议反馈表，如在此期间未提交视作对审计结果无异议，审定金额以审计稿为准。</w:t>
      </w:r>
    </w:p>
    <w:p>
      <w:pPr>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十、保密要求</w:t>
      </w:r>
    </w:p>
    <w:p>
      <w:pPr>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1、成交供应商的项目经理应该对采购人的信息具有保密义务。在进行服务的过程中，应当佩戴明显的公司标志，并严格遵守服务规范和用户单位的规章制度。</w:t>
      </w:r>
    </w:p>
    <w:p>
      <w:pPr>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2、成交供应商对涉及机密的数据进行维护时，要求由用户单位相关使用人在场，如果因为投标单位过失引起的泄密，将依法追究其民事、刑事责任。</w:t>
      </w:r>
    </w:p>
    <w:p>
      <w:pPr>
        <w:pStyle w:val="2"/>
        <w:rPr>
          <w:rFonts w:hint="eastAsia" w:ascii="宋体" w:hAnsi="宋体" w:cs="宋体"/>
          <w:bCs/>
          <w:color w:val="000000"/>
          <w:szCs w:val="21"/>
          <w:highlight w:val="none"/>
        </w:rPr>
      </w:pPr>
    </w:p>
    <w:p>
      <w:pPr>
        <w:rPr>
          <w:rFonts w:hint="eastAsia" w:ascii="宋体" w:hAnsi="宋体" w:cs="宋体"/>
          <w:bCs/>
          <w:color w:val="000000"/>
          <w:szCs w:val="21"/>
          <w:highlight w:val="none"/>
        </w:rPr>
      </w:pPr>
    </w:p>
    <w:p>
      <w:pPr>
        <w:pStyle w:val="2"/>
        <w:rPr>
          <w:rFonts w:hint="eastAsia" w:ascii="宋体" w:hAnsi="宋体" w:cs="宋体"/>
          <w:bCs/>
          <w:color w:val="000000"/>
          <w:szCs w:val="21"/>
          <w:highlight w:val="none"/>
        </w:rPr>
      </w:pPr>
    </w:p>
    <w:p>
      <w:pPr>
        <w:rPr>
          <w:rFonts w:hint="eastAsia" w:ascii="宋体" w:hAnsi="宋体" w:cs="宋体"/>
          <w:bCs/>
          <w:color w:val="000000"/>
          <w:szCs w:val="21"/>
          <w:highlight w:val="none"/>
        </w:rPr>
      </w:pPr>
    </w:p>
    <w:p>
      <w:pPr>
        <w:pStyle w:val="2"/>
        <w:rPr>
          <w:rFonts w:hint="eastAsia"/>
        </w:rPr>
      </w:pPr>
    </w:p>
    <w:p>
      <w:pPr>
        <w:spacing w:line="360" w:lineRule="auto"/>
        <w:ind w:firstLine="422" w:firstLineChars="200"/>
        <w:jc w:val="left"/>
        <w:rPr>
          <w:rFonts w:hint="eastAsia" w:ascii="宋体" w:hAnsi="宋体" w:eastAsia="宋体" w:cs="宋体"/>
          <w:b/>
          <w:color w:val="000000"/>
          <w:szCs w:val="21"/>
          <w:highlight w:val="none"/>
          <w:lang w:val="en-US" w:eastAsia="zh-CN"/>
        </w:rPr>
      </w:pPr>
      <w:r>
        <w:rPr>
          <w:rFonts w:hint="eastAsia" w:ascii="宋体" w:hAnsi="宋体" w:cs="宋体"/>
          <w:b/>
          <w:color w:val="000000"/>
          <w:szCs w:val="21"/>
          <w:highlight w:val="none"/>
        </w:rPr>
        <w:t>十</w:t>
      </w:r>
      <w:r>
        <w:rPr>
          <w:rFonts w:hint="eastAsia" w:ascii="宋体" w:hAnsi="宋体" w:cs="宋体"/>
          <w:b/>
          <w:color w:val="000000"/>
          <w:szCs w:val="21"/>
          <w:highlight w:val="none"/>
          <w:lang w:val="en-US" w:eastAsia="zh-CN"/>
        </w:rPr>
        <w:t>一</w:t>
      </w:r>
      <w:r>
        <w:rPr>
          <w:rFonts w:hint="eastAsia" w:ascii="宋体" w:hAnsi="宋体" w:cs="宋体"/>
          <w:b/>
          <w:color w:val="000000"/>
          <w:szCs w:val="21"/>
          <w:highlight w:val="none"/>
        </w:rPr>
        <w:t>、</w:t>
      </w:r>
      <w:r>
        <w:rPr>
          <w:rFonts w:hint="eastAsia" w:ascii="宋体" w:hAnsi="宋体" w:cs="宋体"/>
          <w:b/>
          <w:color w:val="000000"/>
          <w:sz w:val="20"/>
          <w:highlight w:val="none"/>
          <w:lang w:bidi="ar"/>
        </w:rPr>
        <w:t>采购人采购清单明细</w:t>
      </w:r>
      <w:r>
        <w:rPr>
          <w:rFonts w:hint="eastAsia" w:ascii="宋体" w:hAnsi="宋体" w:cs="宋体"/>
          <w:b/>
          <w:color w:val="000000"/>
          <w:sz w:val="20"/>
          <w:highlight w:val="none"/>
          <w:lang w:val="en-US" w:eastAsia="zh-CN" w:bidi="ar"/>
        </w:rPr>
        <w:t>表</w:t>
      </w:r>
    </w:p>
    <w:tbl>
      <w:tblPr>
        <w:tblStyle w:val="5"/>
        <w:tblW w:w="891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1146"/>
        <w:gridCol w:w="4771"/>
        <w:gridCol w:w="772"/>
        <w:gridCol w:w="609"/>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919" w:type="dxa"/>
            <w:gridSpan w:val="6"/>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设备材料综合清单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参数</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一、综合布线系统线缆</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非屏蔽网线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 100MHz测试并可扩展至350MHz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较小的外径，安装时不易扭绞和卡住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提供电缆长度标记，减少浪费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支持语音、数据、视频信号高速传输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可提供多种阻燃等级(成束燃烧、单根垂直燃烧、B1/B2级阻燃、CM/CMR等)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低烟无卤性能可选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导体直径：0.50±0.008mm(24AWG)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绝缘材料：实心PE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护套材料：PVC/LSZH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电缆外径：5.1±0.3mm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屏蔽网线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 100MHz测试并可扩展至350MHz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提供电缆长度标记，减少浪费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支持语音、数据、视频信号高速传输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采用总屏蔽层，具有高抗电磁干扰性，使传输信号的误码率降至最低程度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提供线缆长度标记，减少浪费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可提供多种阻燃等级(成束燃烧、单根垂直燃烧、B1/B2级阻燃、CM/CMR等)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导体直径：0.52±0.02mm(24AWG)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绝缘材料：实心PE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护套材料：PVC/LSZH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电缆外径：6.2±0.3mm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非屏蔽网线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 250MHz测试并可扩展至350MHz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线对间用十字骨架隔离，有效的降低了串扰，增加了结构稳定性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提供电缆长度标记，减少浪费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支持语音、数据、视频信号高速传输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端接方便省时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 PoE/PoE+/PoE++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可提供多种阻燃等级(成束燃烧、单根垂直燃烧、B1/B2级阻燃、CM/CMR等)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导体直径：0.57±0.02mm(23AWG)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绝缘材料：实心PE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护套材料：PVC/LSZH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电缆外径：6.3±0.3mm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36973</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屏蔽网线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特殊的十字骨架使电缆维持稳定的线对位置，减小了串扰并保持阻抗稳定性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提供电缆长度标记，减少浪费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可提供符合 Plenum 要求，适合天花板通风系统布线产品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可支持 PoE/PoE+/PoE++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可提供多种阻燃等级(成束燃烧、单根垂直燃烧、B1/B2级阻燃、CM/CMR等)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导体直径：0.57±0.02mm(23AWG)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绝缘材料：物理发泡PE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护套材料：PVC/LSZH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电缆外径：7.4±0.3mm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2155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25对大对数电话线缆</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单线采用拉丝退火挤塑一次成型的串联工艺，确保高质量的绝缘单线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绝缘一致性提供了更低的传播延迟偏差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绝缘、护套均经过在线火花试验，确保完整性、安全性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电线表面采用喷墨印字，并印有计米长度，印字清晰，计米准确，便于使用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导体直径：0.40(26AWG)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绝缘材料：实心PE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护套材料：PVC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电缆外径：D103-25 9.0±0.5mm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D103-50 12.0±0.5mm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D103-100 16.5±0.5mm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6芯多模室内轻铠千兆光纤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护套颜色橙色，色号RAL2008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6芯多模室外轻铠千兆光纤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6芯多模室内轻铠万兆光纤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护套颜色柠檬绿色，色号PANTONE373C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6芯多模室外轻铠万兆光纤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6芯单模室内轻铠千兆光纤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护套颜色橙色，色号RAL2008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6芯单模室外轻铠千兆光纤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12芯多模室内轻铠万兆光纤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护套颜色柠檬绿色，色号PANTONE373C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12芯多模室外轻铠万兆光纤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12芯多模室内轻铠千兆光纤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护套颜色橙色，色号RAL2008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12芯多模室外轻铠千兆光纤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12芯单模室内轻铠千兆光纤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护套颜色黑色，色号RAL2008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12芯单模室外轻铠千兆光纤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2014</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12芯多模室内轻铠千兆光纤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护套颜色橙色，色号RAL2008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12芯多模室外轻铠千兆光纤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12芯多模室内轻铠万兆光纤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护套颜色柠檬绿色，色号PANTONE373C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12芯多模室外轻铠万兆光纤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12芯单模室内轻铠千兆光纤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护套颜色橙色，色号RAL2008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采用紧套光纤，便于剥离使用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光缆具有良好的阻燃性能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进口芳纶加强元件，使光缆有优异的抗拉性能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光缆重量轻，柔软程度高、弯曲半径小，适宜施工操作</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12芯单模室外轻铠千兆光纤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松套管中填充特种纤膏，对光纤进行关键性保护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两根平行钢丝增加了光缆的抗拉力和抗侧压力等机械性能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结构紧凑严密，便于施工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光缆重量轻，弯曲性能优异</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HDMI线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HDMI线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14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HDMI线</w:t>
            </w:r>
          </w:p>
        </w:tc>
        <w:tc>
          <w:tcPr>
            <w:tcW w:w="477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25米</w:t>
            </w:r>
          </w:p>
        </w:tc>
        <w:tc>
          <w:tcPr>
            <w:tcW w:w="77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音频线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RVSP2*0.5</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海威勒、绿联、秋叶原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14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音箱线</w:t>
            </w:r>
          </w:p>
        </w:tc>
        <w:tc>
          <w:tcPr>
            <w:tcW w:w="477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300支</w:t>
            </w:r>
          </w:p>
        </w:tc>
        <w:tc>
          <w:tcPr>
            <w:tcW w:w="77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14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电源线</w:t>
            </w:r>
          </w:p>
        </w:tc>
        <w:tc>
          <w:tcPr>
            <w:tcW w:w="477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RVV2*1.5m2</w:t>
            </w:r>
          </w:p>
        </w:tc>
        <w:tc>
          <w:tcPr>
            <w:tcW w:w="77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c>
          <w:tcPr>
            <w:tcW w:w="6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二、综合布线系统配线架</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超五类铜缆配线架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19英寸标准机架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360度全屏蔽壳体设计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超五类铜缆屏蔽配线架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19英寸标准机架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六类配线架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19英寸标准机架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模块化设计，每个模块都可以单独拆卸和更换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六类屏蔽配线架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19英寸标准机架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自动回弹半透明滑动式防尘门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模块化设计，每个模块都可以单独拆卸和更换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每个模块整体金属压铸，360°全屏蔽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阻燃UL94-V0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4口光纤接续盒</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进出光纤方便灵活，有充裕的光纤盘存空间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结构紧凑，体积小，重量轻、多种规格可供选择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背面多个光缆固定位置，使进纤方便灵活，便于光缆开剥保护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光纤和尾纤弯曲半径不小于 30mm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8口光纤接续盒</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进出光纤方便灵活，有充裕的光纤盘存空间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结构紧凑，体积小，重量轻、多种规格可供选择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背面多个光缆固定位置，使进纤方便灵活，便于光缆开剥保护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光纤和尾纤弯曲半径不小于 30mm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12口光纤配线架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 19″机架式安装方式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精良的设计为光缆端接和光纤适配器的安装提供可靠的保护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进出光纤方便灵活，有充裕的光纤盘存空间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结构紧凑，体积小，重量轻、多种规格可供选择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背面多个光缆固定位置，使进纤方便灵活，便于光缆开剥保护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结构简单，强度好，适配器卡装牢固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安装使用简单 : 所有适配器通过卡装即可完成，无需拧适配器的螺丝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适配器通用性强：可装 ST、SC、FC、LC。有多余空缺时，可用堵头堵住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光纤和尾纤弯曲半径不小于30mm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24口光纤配线架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 19″机架式安装方式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精良的设计为光缆端接和光纤适配器的安装提供可靠的保护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进出光纤方便灵活，有充裕的光纤盘存空间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结构紧凑，体积小，重量轻、多种规格可供选择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背面多个光缆固定位置，使进纤方便灵活，便于光缆开剥保护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结构简单，强度好，适配器卡装牢固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安装使用简单 : 所有适配器通过卡装即可完成，无需拧适配器的螺丝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适配器通用性强：可装 ST、SC、FC、LC。有多余空缺时，可用堵头堵住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光纤和尾纤弯曲半径不小于30mm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LC双工耦合器</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插入损耗低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兼容性、重复性、互换性好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温度稳定性好</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SC耦合器</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插入损耗低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兼容性、重复性、互换性好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温度稳定性好</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光纤熔接包</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配套</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光纤熔接</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配套</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芯</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理线架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24档缺口使理线更加快捷整齐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纯冷轧板卡扣结构使产品更加可靠牢固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材料及厚度：SPCC冷轧钢板1.0/1.2mm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尺寸：482*44*80mm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电话配线架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19英寸标准机架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采用IDC技术设计，上下两排进出线缆均在正面端接，使施工、维护更快捷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三、综合布线系统模块、面板、水晶头</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双口面板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与86型底盒配套使用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带有防尘门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带有信息标识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组合式结构，前后双层面板设计，外形美观，避免固定螺丝外露</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单口面板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与86型底盒配套使用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带有防尘门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带有信息标识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组合式结构，前后双层面板设计，外形美观，避免固定螺丝外露</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超五类非屏蔽模块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超五类屏蔽模块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整体金属压铸，360°全屏蔽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六类非屏蔽模块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六类屏蔽模块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整体金属压铸，360°全屏蔽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阻燃等级UL94-V0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超五类非屏蔽水晶头</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采用三叉簧片设计、磷青铜镀金材料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支持语音、数据、视频信号高速传输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超五类屏蔽水晶头</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采用三叉簧片设计、磷青铜镀金材料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支持语音、数据、视频信号高速传输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燕尾夹设计，增加水晶头与线的拉力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六类非屏蔽水晶头</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采用三叉簧片设计、磷青铜镀金材料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支持语音、数据、视频信号高速传输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六类屏蔽水晶头</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采用三叉簧片设计、磷青铜镀金材料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支持语音、数据、视频信号高速传输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燕尾夹设计，增加水晶头与线的拉力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四、综合布线系统跳线、尾纤</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超五类非屏蔽跳线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超五类非屏蔽跳线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超五类非屏蔽跳线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超五类屏蔽跳线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六类非屏蔽跳线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锁扣式跳线，具有防误拔、脱落功能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六类非屏蔽跳线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锁扣式跳线，具有防误拔、脱落功能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六类非屏蔽跳线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锁扣式跳线，具有防误拔、脱落功能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六类屏蔽跳线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3米符合ANSI/TIA-568.2-D和ISO/IEC11801-2017 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插拔次数≥1000次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端接类型TIA568B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采用屏蔽结构抗电磁干扰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工作温度：-20℃～60℃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光纤跳线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千兆单模任意接口低插入损耗，高回波损耗，性能优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光纤跳线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千兆多模任意接口低插入损耗，高回波损耗，性能优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光纤跳线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万兆低插入损耗，高回波损耗，性能优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LC多模千兆尾纤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LC多模万兆尾纤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LC单模千兆尾纤</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万兆低插入损耗，高回波损耗，性能优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SC千兆多模尾纤 </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SC万兆多模尾纤 </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低插入损耗，高回波损耗，性能优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高质量陶瓷插芯，插入损耗低，耐久性好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各种长度、多种类型的光纤跳线可供选择定制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重复性、互换性好，光学特性稳定</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一舟、爱谱华顿、施耐德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四、管道、线槽</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24*14mm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508</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50*25mm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80*40mm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底盒</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86型</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不锈钢弧形线槽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不锈钢弧形线槽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不锈钢弧形线槽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不锈钢弧形线槽</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PVC管子</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PVC管子</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PVC管子</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PE管子</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PE管子</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中财、波达、伟星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JDG管</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Φ20</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天一、华朔、申捷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JDG管</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Φ25</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天一、华朔、申捷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镀锌桥架（含支架）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400*100*2.0mm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远大、鑫佳、固工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镀锌桥架（含支架）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300*100*1.5mm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远大、鑫佳、固工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镀锌桥架（含支架）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200*100*1.5mm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256</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远大、鑫佳、固工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镀锌桥架（含支架）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100*50*1.2mm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远大、鑫佳、固工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四、医院护理对讲系统设备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机柜</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600*600*42U</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图腾、建云、一舟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机柜</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600*800*42U</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图腾、建云、一舟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机柜</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600*600*20U</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图腾、建云、一舟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多功能插座</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8位5口</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公牛、良工、易龙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PDU插板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8位10A</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公牛、良工、易龙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PDU插板</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8位16A</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公牛、良工、易龙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室外机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采用监200W高清摄像头（宽动态，120度超广角），支持7*24全天候预览、录像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采用智能补光，设备自动判断环境光照实施红外补光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自带门禁功能，实现单元门的电控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支持Web管理，支持参数配置、系统维护、视频预览、人员信息查询等功能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支持与室内机、中心管理机之间双向对讲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支持云眸社区接入，配合云眸社区APP实现云对讲功能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支持VOIP电话网关功能，通过云眸配置业主手机号，在室内机和APP无应答时可拨打业主电话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支持报警功能，设备带门磁报警接入、防拆报警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采用先进的硬件噪声抑制与回声消除技术，保证话音质量清晰明亮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工程安装便利性（支持中心远程升级、本地Web管理，支持刷机批量配置）</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室内机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显示屏：7寸彩色触摸TFT LCD</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显示屏分辨率：1024 × 600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操作方式：电容式触摸屏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网线供电：支持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网口：10M/100M自适应以太网口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电源：私有PoE供电或DC 12 V</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解码器</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8路POE设备供电</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病床分机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纤薄机身，含手持，壁挂式安装在设备带上。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呼叫/解除：支持呼叫护士站主机与解除呼叫。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双工对讲：支持与护士站主机全双工对讲。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对讲方式：采用回音消除技术，支持全双工对讲，对讲音频采样率不低于16KHz。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护理代接：在门口机进入护理状态下，通过床位分机接听其他病房分机呼叫，并双向对讲。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接口多样：支持外接输液报警器、防水按钮（需另购按钮接线盒）、门灯。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在线升级：支持在线升级软件。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供电方式：总线制供电。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注意事项：安装时，手持呼叫器与分机间距需保持≥15cm。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病床分机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采用7英寸液晶显示屏，电容式触摸屏，嵌入式安装在设备带上。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呼叫/解除：支持呼叫护士站主机与解除呼叫。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双工对讲：支持与护士站主机全双工对讲。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对讲方式：采用回音消除技术，支持全双工对讲，对讲音频采样率不低于16KHz。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紧急增援：支持一键向护士站主机发起紧急增援。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换药提醒：支持一键向护士站主机发起换药提醒。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护理代接：支持护理人员进入病房护理时，通过床位分机接听其他病房分机呼叫，并双向对讲。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吸氧计时：支持吸氧计时功能，并向护士站主机发起到时报警提醒。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信息显示：支持显示责任医生、责任护士、患者等相关信息。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IPC联动：支持绑定网络摄像机，护士可通过主机对病房内进行视频监护。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信息查询：支持查询住院费用、医嘱信息、医院简介、科室简介等。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夜晚模式：支持夜晚模式，根据主机设置的夜间模式关屏休眠。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工作时长：支持7x24小时连续工作。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消毒方式：支持酒精、84消毒液或消毒湿巾擦拭消毒或紫外线照射消毒。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接口多样：支持外接门灯、洗手间按钮，支持报警按钮扩展（需另购按钮接线盒）。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远程升级：支持远程在线升级软件。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防水按钮（总线制）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国标86盒防水设计，三芯总线、在线编码方式；壁挂式安装在病房的洗手间内，可供患者紧急情况下报警。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报警方式：支持拉绳和按键报警。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防水性能：达到IPX8防水等级，支持淋浴下直接使用。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报警提示：报警后环形指示灯亮并伴有提示声。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连接方式：3芯线总线制连接。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多媒体控制盒</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由多媒体控制盒(型号：NLV-DC) 与液晶电视机(自备)组成，可作为病员一览表或信息看板使用，安装在护士站。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数据同步：支持同步HIS系统数据，实时更新病员一览和护理项目信息。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信息显示：支持同步显示病区患者、病区床位、值班医生、值班护士等信息。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模板切换：支持病员一览模板、护理项目信息看板模板、病员一览和护理项目混合模板。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接口多样：含HDMI*1、USB2.0*4、RJ45网口*1、音频输出口*1。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供电方式：电源适配器供电。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对讲主机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采用10.2英寸触摸显示屏，1080P高清视频，护士站桌面式安装。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可视对讲：支持全双工高清可视对讲，含免提和手柄两种对讲方式；摄像头角度可手动调节。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数据同步：支持同步HIS系统数据，实时更新病员一览信息。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主机托管：支持将本主机所管理的设备托管给其它主机。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呼叫转移：支持将呼叫信息转移到其他主机上，并支持分时段转移。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广播播放：支持对所有终端设备全区、分区、定时广播、广播喊话、消防广播（需另购消防矩阵）。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现场处理：开启“等待处理”功能时，护士须到该病床处按键取消该状态。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病区门开锁：支持病区门锁开合，通过与探访人可视对讲确认身份，实现门禁管理。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语音播报：支持房床号以及护理级别等语音播报信息。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音量调节：支持白天和夜晚的播报音量、通话音量设置。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夜晚模式：支持夜晚息屏模式，夜晚时间段可自定义设置。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在线监测：支持实时监测设备在线状态，分机或门口机掉线时有语音和文字提示。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脱机工作：本机在无服务器状态下可正常接收呼叫、可视对讲、文件广播、录音录像存储。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录音录像：支持录音录像（另购32GB录音录像模块），可本地或服务器查看。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留影留言：支持护士在本机上交接班留影留言，可通过护士站对讲主机进行录制、播放音视频文件。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接口多样：支持报警输出、报警输入、录音输出、音源输入等硬件接口。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供电方式：电源适配器供电。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对讲主机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采用10.2英寸触摸显示屏，1080P高清视频，护士站桌面式安装。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可视对讲：支持全双工高清可视对讲，含免提和手柄两种对讲方式；摄像头角度可手动调节。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数据同步：支持同步HIS系统数据，实时更新病员一览信息。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主机托管：支持将本主机所管理的设备托管给其它主机。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呼叫转移：支持将呼叫信息转移到其他主机上，并支持分时段转移。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广播播放：支持对所有终端设备全区、分区、定时广播、广播喊话、消防广播（需另购消防矩阵）。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现场处理：开启“等待处理”功能时，护士须到该病床处按键取消该状态。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病区门开锁：支持病区门锁开合，通过与探访人可视对讲确认身份，实现门禁管理。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语音播报：支持房床号以及护理级别等语音播报信息。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音量调节：支持白天和夜晚的播报音量、通话音量设置。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夜晚模式：支持夜晚息屏模式，夜晚时间段可自定义设置。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在线监测：支持实时监测设备在线状态，分机或门口机掉线时有语音和文字提示。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脱机工作：本机在无服务器状态下可正常接收呼叫、可视对讲、文件广播、录音录像存储。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录音录像：支持录音录像（另购32GB录音录像模块），可本地或服务器查看。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留影留言：支持护士在本机上交接班留影留言，可通过护士站对讲主机进行录制、播放音视频文件。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接口多样：支持报警输出、报警输入、录音输出、音源输入等硬件接口。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供电方式：电源适配器供电。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对讲主机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采用7英寸触摸显示屏，1080P高清视频。护士值班室或医生办公室桌面式安装。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可视对讲：支持全双工高清可视对讲。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状态显示：支持显示所有设备呼叫信息。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呼叫查询：支持查询呼入和呼出记录。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广播播放：支持对病区内所有设备广播喊话、消防广播（需另购消防矩阵）。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呼叫转移：支持将呼叫信息转移到其他主机上，并支持分时段转移。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SIP电话接入：支持标准SIP通讯协议，可接入SIP电话系统。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录音录像：支持录音录像，可本地或服务器查看（另购32GB录音录像模块）。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接口多样：支持报警输出、报警输入、录音输出、音源输入、耳机、HDMI等硬件接口。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供电方式：电源适配器供电。</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电源接线箱</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1.5U机箱设计，用于给设备集中供电。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含24V/15A开关电源，最大输出功率350W</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无线报警按钮</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安装在长者床头、洗手间马桶对面的墙壁上或房间内阳台区域。支持按键报警和拉绳报警，采用电池供电、无需布线、续航时长不小于6年；基于独特的防水设计，即使在潮湿环境中也可长久工作。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报警方式：支持按键和拉绳两种报警方式。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报警提示：支持报警过程中、报警成功时，有蜂鸣器声音提示。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协助定位：内置信标，提供手表、求救定位器等准确定位信号。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在线检测：支持设备掉线后，监护主机自动提示设备离线状态。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低电报警：支持自动检测设备电池电量，低于阈值时自动报警。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无线报警主机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采用10.2英寸触摸显示屏，内置1080P高清摄像头，桌面式安装。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接警处警：支持接收显示长者的求救报警及位置信息。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交班留言：支持通过主机进行交班留影留言，便于下一照护人员护理时查看。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级别管理：支持报警附加上传至系统内其他主机，可自由设置上传时段。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数据同步：支持连接服务器，实时更新人员信息。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语音播报：支持语音播报长者姓名、报警类型、报警位置等。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地图查看：支持查看地图功能，监护手表在室外求救报警时，可通过主机查看GPS位置。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在线监测：支持监测终端的在线状态，终端掉线或故障连接不通时，主机可播报提醒。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在线升级：支持远程在线升级软件。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接口多样：支持485通讯、报警输出、USB、HDMI等硬件接口。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供电方式：电源适配器（DC14V/1.7A）。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模数转换器</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1.5U机箱设计，一般安放在楼层弱电井。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局域网LAN(可跨网断跨路由)及模拟信号传输。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支持网络数字信号(主机端)与总线制模拟信号(分机端)的转换与通讯。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主机NNV-30/60/90/120通过网络配接一台模数转换器，可分别管理30/60/90/120个分机。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自带电源，可给所管理的全部分机供电。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窗口对讲机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柜员机采用物理式按压按键，一体式高性能会议话筒；窗口机采用全铝合金外壳，内置红外感应探头。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双向对讲：支持窗口内外双向对讲。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自动静音：支持红外探测功能，可自动进入静音模式。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录音输出：支持耳机插口，可输出窗口内外双路声音信号。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音量调节：支持单独开关窗口内外声音，音量大小可调节。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供电方式：电源适配器供电。</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信息交互服务器软件</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系统必配；采用B/S架构，支持实体服务器、云服务器、虚拟化平台部署。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功能简介：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数据对接：支持与HIS，LIS,PACS等信息系统对接，可获取医护、科室、医院简介等信息，实现基础数据和业务应用数据的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交互共享，同时也支持手动维护医护人员信息，可上传医生照片、职称、业务擅长以及排班信息的自动同步和管理。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状态查看：支持对系统内的设备提供注册服务和管理，可查看设备信息、在线状态等，支持对设备进行批量软件升级。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数据管理：支持数据库备份、还原、清空及重建，支持配置备份、还原。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时钟同步：支持与NTP服务器同步时间，并对系统内设备提供时间同步服务。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权限管理：可设置不同的登录账户，每个账户可选择设置指定的角色。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移动端应用模块：内置对讲服务，通过手持主机应用完成支持接收病床分机的呼叫以及换药提醒、紧急增援和洗手间报警呼叫；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支持呼叫主机；支持全双工可视对讲；可单独设置个性化的呼叫和报警铃声。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▲与采购人现有对讲系统无缝对接，统一平台管理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安装盒</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安装叫号机、定制尺寸、含医院LOGO</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来邦、海康、奥智利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五、广播系统设备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三个话筒输入口，两个辅助输入口，一个辅助输出口。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100V，70V350W定压输出和4</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定阻（平衡，不接地）输出。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有默音功能，便于插入优先广播。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各通道独立音量控制，高音和低音音调控制。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5单位LED电平表，甚易监察工作状态，输出短路保护并告警。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输出调整率由满载到空载，小于3dB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输出方式P1，70V、100V定压输出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辅助输出≥1V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输入Mic1，2，3：600</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，≤3mV，不平衡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AUX1，2：10k</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，≤300mV，不平衡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频响50Hz-16kHz（±3dB）谐波失真&lt;1%at1kHz，1/3额定输出电压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信噪比Mic1，2，3：&gt;75dB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AUX1，2：&gt;80dB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音调调节低音：±10dB（100Hz）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高音：±10dB（10kHz）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保护交流保险丝，直流输出，过载，短路。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默音功能Mic1输入覆盖其它输入（衰减0到-30dB）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电源AC220V-240V/50Hz-60Hz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外包装尺寸（mm）（L×W×H）520×430×195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机器尺寸（mm）（L×W×H）420×338×88</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三个话筒输入口，两个辅助输入口，一个辅助输出口。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100V，70V60W定压输出和4</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定阻（平衡，不接地）输出。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有默音功能，便于插入优先广播。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各通道独立音量控制，高音和低音音调控制。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5单位LED电平表，甚易监察工作状态，输出短路保护并告警。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输出调整率由满载到空载，小于3dB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输出方式P1，70V、100V定压输出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辅助输出≥1V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输入Mic1，2，3：600</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，≤3mV，不平衡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AUX1，2：10k</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，≤300mV，不平衡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频响50Hz-16kHz（±3dB）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谐波失真&lt;1%at1kHz，1/3额定输出电压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信噪比Mic1，2，3：&gt;75dB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AUX1，2：&gt;80dB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音调调节低音：±10dB（100Hz）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高音：±10dB（10kHz）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保护交流保险丝，直流输出，过载，短路。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默音功能Mic1输入覆盖其它输入（衰减0到-30dB）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电源AC220V-240V/50Hz-60Hz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外包装尺寸（mm）（L×W×H）520×430×195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机器尺寸（mm）（L×W×H）420×338×88</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三个话筒输入口，两个辅助输入口，一个辅助输出口。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100V，70V60W定压输出和4</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定阻（平衡，不接地）输出。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有默音功能，便于插入优先广播。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各通道独立音量控制，高音和低音音调控制。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5单位LED电平表，甚易监察工作状态，输出短路保护并告警。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输出调整率由满载到空载，小于3dB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输出方式P1，70V、100V定压输出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辅助输出≥1V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输入Mic1，2，3：600</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，≤3mV，不平衡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AUX1，2：10k</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，≤300mV，不平衡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频响50Hz-16kHz（±3dB）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谐波失真&lt;1%at1kHz，1/3额定输出电压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信噪比Mic1，2，3：&gt;75dB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AUX1，2：&gt;80dB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音调调节低音：±10dB（100Hz）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高音：±10dB（10kHz）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保护交流保险丝，直流输出，过载，短路。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默音功能Mic1输入覆盖其它输入（衰减0到-30dB）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电源AC220V-240V/50Hz-60Hz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外包装尺寸（mm）（L×W×H）520×430×195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机器尺寸（mm）（L×W×H）420×338×88</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话筒前级功放</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4个线路输入，一个线路输出，6个话筒输入（平衡，不接地，配有24V幻像电源）；4个音源通道智能自动检测输出，信号优先播放；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话筒1和钟声输入具有默音功能，便于强插；具备一路话筒优先发言功能，方便不同场合使用；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具有话筒移频功能，移频频率可调；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内置钟声发生器，钟声输出音量可调；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话筒和音源通道音量独立控制，功放输出音量综合控制；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7段均衡，调节方便，均衡/直通切换选择输出；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100V、70V定压输出，4-16</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t>定阻输出；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额定功率：350W</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同轴喇叭</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高品质会议音箱，适用于各种会议场所；</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频宽(-10dB):可达到50Hz-20,000Hz；灵敏度（1m，1W）:91dB；最大声压级(1m):107dB；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输入阻抗:8欧；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系统输入功率:40W；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结构组成:6.5′低音×1(低、中频)1.5′高音×1(高频)；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适应环境温度:-10℃~+40℃；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尺寸：241mm×Ø231mm；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安装孔尺寸Ø198mm-Ø203mm；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净重3.5kg</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壁挂喇叭</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喇叭单元：6.5''X1，1''X1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额定功率：40W                                              额定输入：100V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灵敏度(1m,1W)：91dB±2dB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最大声压级(1m)：106dB±2dB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频率响应：65-20,000Hz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尺寸：215X203X310mm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净重：4.3kg。</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话筒</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支持终端即插即用；                                              具有延时自动关闭功能；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可弯曲式话筒，话筒输出电压600mV±10mV或20mV±10%（非平衡）；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钟声额定输出电压600mV±10mV或20mV±10%；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输出钟声种类CHIMEUP：上音符1-3-5-</w:t>
            </w:r>
            <w:r>
              <w:rPr>
                <w:rFonts w:ascii="Calibri" w:hAnsi="Calibri" w:eastAsia="宋体" w:cs="Calibri"/>
                <w:i w:val="0"/>
                <w:iCs w:val="0"/>
                <w:snapToGrid w:val="0"/>
                <w:color w:val="000000"/>
                <w:kern w:val="0"/>
                <w:sz w:val="18"/>
                <w:szCs w:val="18"/>
                <w:u w:val="none"/>
                <w:lang w:val="en-US" w:eastAsia="zh-CN" w:bidi="ar"/>
              </w:rPr>
              <w:t>і</w:t>
            </w:r>
            <w:r>
              <w:rPr>
                <w:rFonts w:hint="eastAsia" w:ascii="宋体" w:hAnsi="宋体" w:eastAsia="宋体" w:cs="宋体"/>
                <w:i w:val="0"/>
                <w:iCs w:val="0"/>
                <w:snapToGrid w:val="0"/>
                <w:color w:val="000000"/>
                <w:kern w:val="0"/>
                <w:sz w:val="18"/>
                <w:szCs w:val="18"/>
                <w:u w:val="none"/>
                <w:lang w:val="en-US" w:eastAsia="zh-CN" w:bidi="ar"/>
              </w:rPr>
              <w:t>-；CHIMEDOWN：下音符i-5-3-1-；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频率范围100Hz-15kHz；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失真度MIC：≤1%。</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话筒</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采用电声学原理精心设计、直径16mm小膜片背极式电容极头，具有良好的频响特；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音质保真、清晰、宏亮；先进的表面处理工艺，软管加工方法独特，弯曲时手感良好，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作防锈处理；灯环显示新颖的鹅颈式外形，美观大方；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输入阻抗：600欧；频响：50-15000Hz；灵敏度：-54dB±3dB；</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同轴喇叭</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喇叭单元：5''X1，1''X1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额定功率：20W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额定输入：70/100V/4-16</w:t>
            </w:r>
            <w:r>
              <w:rPr>
                <w:rFonts w:ascii="Calibri" w:hAnsi="Calibri" w:eastAsia="宋体" w:cs="Calibri"/>
                <w:i w:val="0"/>
                <w:iCs w:val="0"/>
                <w:snapToGrid w:val="0"/>
                <w:color w:val="000000"/>
                <w:kern w:val="0"/>
                <w:sz w:val="18"/>
                <w:szCs w:val="18"/>
                <w:u w:val="none"/>
                <w:lang w:val="en-US" w:eastAsia="zh-CN" w:bidi="ar"/>
              </w:rPr>
              <w:t>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灵敏度(1m,1W)：90dB±2dB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最大声压级(1m)：103dB±2dB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频率响应：60-20,000Hz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安装孔尺寸：直径170mm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尺寸：直径196mm，高223mm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净重：2.9kg。</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吸顶喇叭</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喇叭单元：6.5''X1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额定功率：6W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最大功率：10W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额定输入：70/100V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敏度(1m,1W)：92dB±2dB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最大声压级(1m)：102dB±2dB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频率响应：70-18,000Hz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安装孔尺寸：直径178 - 190mm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尺寸：直径210mm，高80mm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净重：1kg。</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迪士普、艾索、BOSE、艾索、BOSE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六、报警系统设备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报警主机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8个板载有线防区，可扩展至256个（其中64个可以为无线防区）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4个板载触发器输出，可扩展至256个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支持定时布撤防（日常计划、优先计划）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支持CID 报告，支持话机复用;支持防区报警、系统状态事件联动输出，发生/恢复事件和时间可灵活配置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支持32个LCD键盘包括1个全局键盘和31个子系统键盘，键盘总线总长度不得大于1.2km（Φ1.5mm）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支持外置蓄电池，蓄电池电压实时监测，主辅电源可自动切换;支持AC 220V电源供电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支持警号输出、键盘电源、辅助电源防反接和过流保护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支持1路12V/1A辅电输出;支持远程升级,远程导入导出配置参数</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报警键盘</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可以对报警主机进行操作和编程，通过指示灯和报警音提示报警；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支持连接进行远程布撤防，支持双向，LED显示操作结果；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键盘最多所能支持的无线数量由主机决定，最多支持32个；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支持刷卡布撤防，但刷卡不支持消警功能，卡片数量由主机限制，目前网络主机可添加32张卡片；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主机状态指示灯：系统故障（橙色），网络链接状态（绿色），报警（红色），布撤防（蓝色），配置状态（红绿双色） 功能键：8个，工程、查询，旁路，一键，火警，紧急，左键，右键；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防拆功能：支持；与主机通讯：485；键盘警情输出：蜂鸣器；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功能特性：对主机编程、撤布防、消警、旁路/旁路恢复、工程测试、子系统操作、继电器操作、主机状态查询；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功耗：1.8W；工作温度：-10℃～＋55℃；工作湿度：10％～90％； 尺寸(mm)：164mm(长)*124mm(宽)*31mm(高)；重量(g)：272g</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报警按钮</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用于紧急情况下的报警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防火ABS阻燃外壳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连接方式：常开/常闭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适合86底盒安装</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单防区模块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模块连接到多路复用总线前，主机应断电并设置好模块上的地址拨码开关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不要将多个单防区扩展模块或者与之兼容的多路复用扩展模块设为相同的地址，否则会导致多路复用总线故障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模块的可用地址位为1到253，地址位0、254、255不可用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MBUS总线不分极性。</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报警灯</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12V</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紧急按钮贴纸</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定制尺寸及LOGO </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海康威视、大华、艾礼富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六、网络系统设备</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路由器</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双核CPU，256MB DDRIII高速内存，性能强劲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5个千兆网口，1WAN+3WAN/LAN+1LAN</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IPSec/PPTP/L2TP VPN，远程通信更安全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Web认证、短信认证、PPPoE服务器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上网行为管理（移动APP管控/桌面应用管控/网站过滤/行为审计）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内置AC功能，统一管理TP-LINK企业AP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负载均衡与线路备份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内外网ARP防护及常见攻击防护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智能IP带宽管理及连接数限制</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TP-LINK、锐捷、华为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无线AP</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11AC双频并发，最高无线速率可达1167Mbps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无线发射功率线性可调，根据需求调整信号覆盖范围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专业双频天线，提升覆盖区域信号质量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频谱导航，引导双频客户端优先连接到5GHz频段上，使2.4GHz和5GHz两个频段负载更均衡，保障网络性能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简易吸顶式安装，802.3af/at标准PoE网线供电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胖瘦一体，不同环境选择不同工作模式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独立硬件保护电路，可自动恢复工作异常AP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端口隐藏式壳体，布线美观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FIT模式支持射频调优功能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FIT模式支持智能漫游技术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支持TP-LINK商用网络云平台集中管理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支持TP-LINK 商云APP远程查看/管理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TP-LINK、锐捷、华为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无线AP</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新一代Wi-Fi 6 (802.11ax)技术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2.4G/5G 双频并发，无线速率高达1500Mbps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国标86超薄壳体，美观优雅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802.3af/at标准PoE网线供电，无需外接电源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支持TP-LINK易展功能，简单按下按键，即可供TP-LINK易展设备无线接入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频谱导航，引导双频客户端优先连接5GHz，使2.4GHz 和5GHz 两个频段负载更均衡，保障网络性能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FIT模式支持自动射频调优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FIT模式支持智能漫游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支持弱信号剔除、禁止弱信号设备接入功能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胖瘦一体，可以根据不同应用环境选择不同模式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支持TP-LINK 商用网络云平台集中管理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支持TP-LINK 商云APP远程查看/管理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整机尺寸（mm）：86*86*33，出墙厚度8mm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TP-LINK、锐捷、华为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无线网桥</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专业室外壳体设计，适应各种恶劣环境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867M无线，内置高增益13dBi双极化天线，提供高性能无线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纯净5GHz频段，干扰更少，无线传输距离达5千米</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TP-LINK、锐捷、华为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POE交换机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16个10/100/1000Base-T RJ45端口（支持标准PoE+供电）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2个1000Mbps SFP端口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整机最大PoE供电功率为180W，单端口最大PoE供电功率为30W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符合IEEE 802.3af/at PoE供电标准，端口支持供电优先级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支持商云APP端及Web端远程管理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支持智能开局、异常告警、快速排障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支持802.1Q VLAN、Port VLAN、QoS、带宽控制、风暴抑制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支持端口汇聚、端口流量统计、端口监控、线缆检测、环回保护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支持云管理、VLAN隔离、标准交换三种工作模式</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TP-LINK、锐捷、华为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交换机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8个10/100/1000Base-T RJ45端口</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TP-LINK、锐捷、华为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无线接入设备</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802.11ax三路双频通用级放装型AR系列无线接入点，搭载锐捷独有的AI Radio；整机最大支持6条空间流，整机最高无线速率3.267Gbps，可支持802.11a/b/g/n/ac和802.11ax工作，胖/瘦模式切换、802.3at供电和本地供电                                           ▲与采购人现有无线网络系统无缝对接，统一平台管理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锐捷、华为、思科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无线接入设备（高密）</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802.11ax三路双频通用级放装型AR系列无线接入点，搭载锐捷独有的AI Radio；整机最大支持6条空间流，整机最高无线速率3.267Gbps，可支持802.11a/b/g/n/ac和802.11ax工作，胖/瘦模式切换、802.3at供电和本地供电                                           ▲与采购人现有无线网络系统无缝对接，统一平台管理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锐捷、华为、思科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无线接入设备</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802.11ax双路双频通用级面板型无线接入点，可安装在86面板盒孔位；整机最大支持4条空间流，整机最高接入速率1.775Gbps，可支持802.11a/b/g/n/ac和802.11ax工作，胖/瘦模式切换、802.3af供电和本地供电（802.3af和本地电源适配器需单独选购）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▲与采购人现有无线网络系统无缝对接，统一平台管理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锐捷、华为、思科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接入层交换机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24个10/100/1000M电口,4个1000M复用光口，可堆叠，含光模块、堆叠线缆，整机交换容量≥256Gbps，整机包转发能力≥66Mpp，支持POE供电                            ▲与采购人现有无线网络系统无缝对接，统一平台管理</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锐捷、华为、思科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无线授权</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无线AP授权数量32个每组，</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▲兼容管理授权，与采购人现有无线网络系统无缝对接</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锐捷、华为、思科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万兆多模光模块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LC XFP,10Gb/s,10GBase-SR,MMF,850nm,300M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锐捷、华为、思科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接入层交换机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整机交换容量≥336Gbps，整机包转发能力≥51Mpp；24个千兆电口，4个千兆SF；支持4K个VLAN，支持Voice VLAN，基于端口的VLAN，基于MAC的VLAN，基于协议的VLAN；支持RIP、RIPng、OSPF、OSPFv3路由协议 ；支持MAC地址≥16K；支持ARP表项≥2K；支持VRRP；支持VLAN内组播转发和组播多VLAN复制；支持G.8032开放环网协议；支持SP、WRR、SP+WRR等队列调度算法；支持Telemetry技术；支持音视频业务的智能运维；支持CPU防攻击、CPCAR限速 ；支持能效以太网EEE；支持SNMP v1/v2/v3；支持纵向虚拟化，作为纵向子节点零配置即插即用</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华为、锐捷、思科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接入层交换机</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整机交换容量≥432Gbps，整机包转发能力≥87Mpp；48个千兆电口，4个千兆SFP；支持4K个VLAN，支持Voice VLAN，基于端口的VLAN，基于MAC的VLAN，基于协议的VLAN；支持RIP、RIPng、OSPF、OSPFv3路由协议 ；支持MAC地址≥16K；支持ARP表项≥2K；支持VRRP；支持VLAN内组播转发和组播多VLAN复制；支持G.8032开放环网协议；支持SP、WRR、SP+WRR等队列调度算法；支持Telemetry技术；支持音视频业务的智能运维；支持CPU防攻击、CPCAR限速 ；支持能效以太网EEE；支持SNMP v1/v2/v3；支持纵向虚拟化，作为纵向子节点零配置即插即用</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华为、锐捷、思科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千兆光模块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SFP,1.25Gb/s,GE,1000Base-LX,SMF,1310nm,10KM</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华为、锐捷、思科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万兆单模光模块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光纤模式：单模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接头类型：LC                                           中心波长：1310nm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发送光功率:-8.2～0.5dBm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接收灵敏度：≤-12.6dBm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过载光功率：0.5dBm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消光比：＞3.5dB</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华为、锐捷、思科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万兆多模光模块</w:t>
            </w:r>
          </w:p>
        </w:tc>
        <w:tc>
          <w:tcPr>
            <w:tcW w:w="4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光纤模式：多模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模式带宽：2000MHz*km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光纤直径：50</w:t>
            </w:r>
            <w:r>
              <w:rPr>
                <w:rFonts w:hint="default" w:ascii="Calibri" w:hAnsi="Calibri" w:eastAsia="宋体" w:cs="Calibri"/>
                <w:i w:val="0"/>
                <w:iCs w:val="0"/>
                <w:snapToGrid w:val="0"/>
                <w:color w:val="000000"/>
                <w:kern w:val="0"/>
                <w:sz w:val="18"/>
                <w:szCs w:val="18"/>
                <w:u w:val="none"/>
                <w:lang w:val="en-US" w:eastAsia="zh-CN" w:bidi="ar"/>
              </w:rPr>
              <w:t>μ</w:t>
            </w:r>
            <w:r>
              <w:rPr>
                <w:rFonts w:hint="eastAsia" w:ascii="宋体" w:hAnsi="宋体" w:eastAsia="宋体" w:cs="宋体"/>
                <w:i w:val="0"/>
                <w:iCs w:val="0"/>
                <w:snapToGrid w:val="0"/>
                <w:color w:val="000000"/>
                <w:kern w:val="0"/>
                <w:sz w:val="18"/>
                <w:szCs w:val="18"/>
                <w:u w:val="none"/>
                <w:lang w:val="en-US" w:eastAsia="zh-CN" w:bidi="ar"/>
              </w:rPr>
              <w:t>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接头类型：LC                                        中心波长：850nm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发送光功率:-7.3～-1.0dBm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接收灵敏度：≤-11.1dBm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过载光功率：-1.0dBm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消光比：＞3.0dB</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个 </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华为、锐捷、思科</w:t>
            </w:r>
          </w:p>
        </w:tc>
      </w:tr>
    </w:tbl>
    <w:p/>
    <w:p>
      <w:pPr>
        <w:pStyle w:val="2"/>
        <w:ind w:left="0" w:leftChars="0" w:firstLine="0" w:firstLineChars="0"/>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6EFBF"/>
    <w:multiLevelType w:val="singleLevel"/>
    <w:tmpl w:val="2C56EF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GM5YjM5NTAxNTVmYWQ0NWRjOWVlNTU4YjZlZjkifQ=="/>
    <w:docVar w:name="KSO_WPS_MARK_KEY" w:val="ca93d6a9-2ad3-4620-a506-223b95b56d17"/>
  </w:docVars>
  <w:rsids>
    <w:rsidRoot w:val="00000000"/>
    <w:rsid w:val="010F7FF3"/>
    <w:rsid w:val="08697BD0"/>
    <w:rsid w:val="0F341169"/>
    <w:rsid w:val="0FFB4614"/>
    <w:rsid w:val="23515DF1"/>
    <w:rsid w:val="273366A3"/>
    <w:rsid w:val="27E94A74"/>
    <w:rsid w:val="2B6820BE"/>
    <w:rsid w:val="309C4B4F"/>
    <w:rsid w:val="349D0E96"/>
    <w:rsid w:val="441F3676"/>
    <w:rsid w:val="44223166"/>
    <w:rsid w:val="44280581"/>
    <w:rsid w:val="45941E41"/>
    <w:rsid w:val="4DA602AB"/>
    <w:rsid w:val="52FD5566"/>
    <w:rsid w:val="57B819BF"/>
    <w:rsid w:val="5C5915B7"/>
    <w:rsid w:val="6B1271E1"/>
    <w:rsid w:val="7162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rPr>
      <w:snapToGrid/>
    </w:rPr>
  </w:style>
  <w:style w:type="paragraph" w:styleId="4">
    <w:name w:val="footer"/>
    <w:basedOn w:val="1"/>
    <w:qFormat/>
    <w:uiPriority w:val="99"/>
    <w:pPr>
      <w:tabs>
        <w:tab w:val="center" w:pos="4153"/>
        <w:tab w:val="right" w:pos="8306"/>
      </w:tabs>
      <w:snapToGrid w:val="0"/>
      <w:jc w:val="left"/>
    </w:pPr>
    <w:rPr>
      <w:sz w:val="18"/>
    </w:rPr>
  </w:style>
  <w:style w:type="character" w:styleId="7">
    <w:name w:val="page number"/>
    <w:qFormat/>
    <w:uiPriority w:val="0"/>
    <w:rPr>
      <w:rFonts w:ascii="Times New Roman" w:hAnsi="Times New Roman" w:eastAsia="Arial" w:cs="Times New Roman"/>
    </w:rPr>
  </w:style>
  <w:style w:type="character" w:customStyle="1" w:styleId="8">
    <w:name w:val="font81"/>
    <w:qFormat/>
    <w:uiPriority w:val="0"/>
    <w:rPr>
      <w:rFonts w:ascii="Calibri" w:hAnsi="Calibri" w:cs="Calibri"/>
      <w:color w:val="000000"/>
      <w:sz w:val="18"/>
      <w:szCs w:val="18"/>
      <w:u w:val="none"/>
    </w:rPr>
  </w:style>
  <w:style w:type="character" w:customStyle="1" w:styleId="9">
    <w:name w:val="font61"/>
    <w:qFormat/>
    <w:uiPriority w:val="0"/>
    <w:rPr>
      <w:rFonts w:hint="eastAsia" w:ascii="宋体" w:hAnsi="宋体" w:eastAsia="宋体" w:cs="宋体"/>
      <w:color w:val="000000"/>
      <w:sz w:val="18"/>
      <w:szCs w:val="18"/>
      <w:u w:val="none"/>
    </w:rPr>
  </w:style>
  <w:style w:type="character" w:customStyle="1" w:styleId="10">
    <w:name w:val="font71"/>
    <w:qFormat/>
    <w:uiPriority w:val="0"/>
    <w:rPr>
      <w:rFonts w:hint="default" w:ascii="Calibri" w:hAnsi="Calibri" w:cs="Calibri"/>
      <w:color w:val="000000"/>
      <w:sz w:val="18"/>
      <w:szCs w:val="18"/>
      <w:u w:val="none"/>
    </w:rPr>
  </w:style>
  <w:style w:type="character" w:customStyle="1" w:styleId="11">
    <w:name w:val="font12"/>
    <w:qFormat/>
    <w:uiPriority w:val="0"/>
    <w:rPr>
      <w:rFonts w:hint="default" w:ascii="Calibri" w:hAnsi="Calibri" w:cs="Calibri"/>
      <w:color w:val="000000"/>
      <w:sz w:val="18"/>
      <w:szCs w:val="18"/>
      <w:u w:val="none"/>
    </w:rPr>
  </w:style>
  <w:style w:type="character" w:customStyle="1" w:styleId="12">
    <w:name w:val="font1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20469</Words>
  <Characters>24365</Characters>
  <Lines>0</Lines>
  <Paragraphs>0</Paragraphs>
  <TotalTime>4</TotalTime>
  <ScaleCrop>false</ScaleCrop>
  <LinksUpToDate>false</LinksUpToDate>
  <CharactersWithSpaces>25075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2024-04-17T02:21:00Z</dcterms:created>
  <dc:creator>38805</dc:creator>
  <cp:lastModifiedBy>差不多先生</cp:lastModifiedBy>
  <dcterms:modified xsi:type="dcterms:W3CDTF">2024-06-13T02:04:20Z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8AA7AC25E336427383D415EF4B2FA161_12</vt:lpwstr>
  </property>
</Properties>
</file>