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rPr>
          <w:rFonts w:hint="eastAsia"/>
        </w:rPr>
      </w:pPr>
      <w:bookmarkStart w:id="0" w:name="_Toc525753435"/>
      <w:bookmarkStart w:id="1" w:name="_Toc414568763"/>
      <w:r>
        <w:rPr>
          <w:rFonts w:hint="eastAsia"/>
        </w:rPr>
        <w:t>1000M专线技术规范及要求</w:t>
      </w:r>
      <w:bookmarkEnd w:id="0"/>
      <w:bookmarkEnd w:id="1"/>
    </w:p>
    <w:p>
      <w:pPr>
        <w:rPr>
          <w:rFonts w:hint="default" w:ascii="宋体" w:hAnsi="宋体" w:eastAsia="宋体" w:cs="宋体"/>
          <w:sz w:val="28"/>
          <w:szCs w:val="28"/>
          <w:lang w:val="en-US" w:eastAsia="zh-CN"/>
        </w:rPr>
      </w:pPr>
      <w:r>
        <w:rPr>
          <w:rFonts w:hint="eastAsia" w:cs="宋体"/>
          <w:sz w:val="28"/>
          <w:szCs w:val="28"/>
          <w:lang w:val="en-US" w:eastAsia="zh-CN"/>
        </w:rPr>
        <w:t>需求三条1G</w:t>
      </w:r>
      <w:bookmarkStart w:id="9" w:name="_GoBack"/>
      <w:bookmarkEnd w:id="9"/>
      <w:r>
        <w:rPr>
          <w:rFonts w:hint="eastAsia" w:cs="宋体"/>
          <w:sz w:val="28"/>
          <w:szCs w:val="28"/>
          <w:lang w:val="en-US" w:eastAsia="zh-CN"/>
        </w:rPr>
        <w:t>公网专线。</w:t>
      </w:r>
    </w:p>
    <w:p>
      <w:pPr>
        <w:pStyle w:val="2"/>
        <w:keepLines/>
        <w:tabs>
          <w:tab w:val="left" w:pos="567"/>
        </w:tabs>
        <w:jc w:val="left"/>
        <w:rPr>
          <w:rFonts w:hint="eastAsia" w:ascii="宋体" w:hAnsi="宋体" w:eastAsia="宋体" w:cs="宋体"/>
          <w:color w:val="auto"/>
          <w:sz w:val="28"/>
          <w:szCs w:val="28"/>
        </w:rPr>
      </w:pPr>
      <w:bookmarkStart w:id="2" w:name="_Toc470081658"/>
      <w:bookmarkStart w:id="3" w:name="_Toc525753437"/>
      <w:r>
        <w:rPr>
          <w:rFonts w:hint="eastAsia" w:ascii="宋体" w:hAnsi="宋体" w:eastAsia="宋体" w:cs="宋体"/>
          <w:color w:val="auto"/>
          <w:sz w:val="28"/>
          <w:szCs w:val="28"/>
        </w:rPr>
        <w:t>一、互联要求</w:t>
      </w:r>
      <w:bookmarkEnd w:id="2"/>
      <w:bookmarkEnd w:id="3"/>
    </w:p>
    <w:p>
      <w:pPr>
        <w:spacing w:line="360" w:lineRule="auto"/>
        <w:rPr>
          <w:rFonts w:hint="eastAsia" w:ascii="宋体" w:hAnsi="宋体" w:eastAsia="宋体" w:cs="宋体"/>
          <w:kern w:val="2"/>
          <w:sz w:val="28"/>
          <w:szCs w:val="28"/>
        </w:rPr>
      </w:pPr>
      <w:r>
        <w:rPr>
          <w:rFonts w:hint="eastAsia" w:ascii="宋体" w:hAnsi="宋体" w:eastAsia="宋体" w:cs="宋体"/>
          <w:kern w:val="2"/>
          <w:sz w:val="28"/>
          <w:szCs w:val="28"/>
        </w:rPr>
        <w:t>1、乙方提供的线路接入点需交付到甲方指定安装地址，传输、裸纤等资源均由乙方提供。（甲方安装地址：</w:t>
      </w:r>
      <w:r>
        <w:rPr>
          <w:rFonts w:hint="eastAsia" w:ascii="宋体" w:hAnsi="宋体" w:eastAsia="宋体" w:cs="宋体"/>
          <w:color w:val="000000"/>
          <w:sz w:val="28"/>
          <w:szCs w:val="28"/>
        </w:rPr>
        <w:t>杭州市拱墅区半山东路1号</w:t>
      </w:r>
      <w:r>
        <w:rPr>
          <w:rFonts w:hint="eastAsia" w:ascii="宋体" w:hAnsi="宋体" w:eastAsia="宋体" w:cs="宋体"/>
          <w:kern w:val="2"/>
          <w:sz w:val="28"/>
          <w:szCs w:val="28"/>
        </w:rPr>
        <w:t>）。</w:t>
      </w:r>
    </w:p>
    <w:p>
      <w:pPr>
        <w:spacing w:line="360" w:lineRule="auto"/>
        <w:rPr>
          <w:rFonts w:hint="eastAsia" w:ascii="宋体" w:hAnsi="宋体" w:eastAsia="宋体" w:cs="宋体"/>
          <w:kern w:val="2"/>
          <w:sz w:val="28"/>
          <w:szCs w:val="28"/>
        </w:rPr>
      </w:pPr>
      <w:r>
        <w:rPr>
          <w:rFonts w:hint="eastAsia" w:ascii="宋体" w:hAnsi="宋体" w:eastAsia="宋体" w:cs="宋体"/>
          <w:kern w:val="2"/>
          <w:sz w:val="28"/>
          <w:szCs w:val="28"/>
        </w:rPr>
        <w:t>2、乙方提供的互联网链路到达Internet骨干核心路。</w:t>
      </w:r>
    </w:p>
    <w:p>
      <w:pPr>
        <w:spacing w:line="360" w:lineRule="auto"/>
        <w:rPr>
          <w:rFonts w:hint="eastAsia" w:ascii="宋体" w:hAnsi="宋体" w:eastAsia="宋体" w:cs="宋体"/>
          <w:kern w:val="2"/>
          <w:sz w:val="28"/>
          <w:szCs w:val="28"/>
        </w:rPr>
      </w:pPr>
      <w:r>
        <w:rPr>
          <w:rFonts w:hint="eastAsia" w:ascii="宋体" w:hAnsi="宋体" w:eastAsia="宋体" w:cs="宋体"/>
          <w:kern w:val="2"/>
          <w:sz w:val="28"/>
          <w:szCs w:val="28"/>
        </w:rPr>
        <w:t>4、乙方提供的互联接口带宽不小于1Gbps，实际带宽可用率≥95%。</w:t>
      </w:r>
    </w:p>
    <w:p>
      <w:pPr>
        <w:pStyle w:val="3"/>
        <w:spacing w:line="360" w:lineRule="auto"/>
        <w:ind w:left="6"/>
        <w:rPr>
          <w:rFonts w:hint="eastAsia" w:ascii="宋体" w:hAnsi="宋体" w:eastAsia="宋体" w:cs="宋体"/>
          <w:b/>
          <w:sz w:val="28"/>
          <w:szCs w:val="28"/>
        </w:rPr>
      </w:pPr>
      <w:bookmarkStart w:id="4" w:name="_Toc470081662"/>
      <w:bookmarkStart w:id="5" w:name="_Toc460703001"/>
      <w:bookmarkStart w:id="6" w:name="_Toc452564463"/>
      <w:r>
        <w:rPr>
          <w:rFonts w:hint="eastAsia" w:ascii="宋体" w:hAnsi="宋体" w:eastAsia="宋体" w:cs="宋体"/>
          <w:b/>
          <w:sz w:val="28"/>
          <w:szCs w:val="28"/>
        </w:rPr>
        <w:t>二、质量要求</w:t>
      </w:r>
      <w:bookmarkEnd w:id="4"/>
      <w:bookmarkEnd w:id="5"/>
      <w:bookmarkEnd w:id="6"/>
    </w:p>
    <w:p>
      <w:pPr>
        <w:pStyle w:val="19"/>
        <w:numPr>
          <w:ilvl w:val="3"/>
          <w:numId w:val="0"/>
        </w:numPr>
        <w:spacing w:line="360" w:lineRule="auto"/>
        <w:ind w:leftChars="0"/>
        <w:rPr>
          <w:rFonts w:hint="eastAsia" w:ascii="宋体" w:hAnsi="宋体" w:eastAsia="宋体" w:cs="宋体"/>
          <w:sz w:val="28"/>
          <w:szCs w:val="28"/>
        </w:rPr>
      </w:pPr>
      <w:r>
        <w:rPr>
          <w:rFonts w:hint="eastAsia" w:ascii="宋体" w:hAnsi="宋体" w:eastAsia="宋体" w:cs="宋体"/>
          <w:sz w:val="28"/>
          <w:szCs w:val="28"/>
          <w:lang w:val="en-US" w:eastAsia="zh-CN"/>
        </w:rPr>
        <w:t>1、</w:t>
      </w:r>
      <w:r>
        <w:rPr>
          <w:rFonts w:hint="eastAsia" w:ascii="宋体" w:hAnsi="宋体" w:eastAsia="宋体" w:cs="宋体"/>
          <w:sz w:val="28"/>
          <w:szCs w:val="28"/>
        </w:rPr>
        <w:t>乙方提供互联网出口不得针对甲方用户做任何影响业务品质的控制策略；</w:t>
      </w:r>
    </w:p>
    <w:p>
      <w:pPr>
        <w:pStyle w:val="19"/>
        <w:numPr>
          <w:ilvl w:val="3"/>
          <w:numId w:val="0"/>
        </w:numPr>
        <w:spacing w:line="360" w:lineRule="auto"/>
        <w:ind w:leftChars="0"/>
        <w:rPr>
          <w:rFonts w:hint="eastAsia" w:ascii="宋体" w:hAnsi="宋体" w:eastAsia="宋体" w:cs="宋体"/>
          <w:sz w:val="28"/>
          <w:szCs w:val="28"/>
        </w:rPr>
      </w:pPr>
      <w:r>
        <w:rPr>
          <w:rFonts w:hint="eastAsia" w:ascii="宋体" w:hAnsi="宋体" w:eastAsia="宋体" w:cs="宋体"/>
          <w:sz w:val="28"/>
          <w:szCs w:val="28"/>
          <w:lang w:val="en-US" w:eastAsia="zh-CN"/>
        </w:rPr>
        <w:t>2、</w:t>
      </w:r>
      <w:r>
        <w:rPr>
          <w:rFonts w:hint="eastAsia" w:ascii="宋体" w:hAnsi="宋体" w:eastAsia="宋体" w:cs="宋体"/>
          <w:sz w:val="28"/>
          <w:szCs w:val="28"/>
        </w:rPr>
        <w:t>乙方提供互联网出口不得针对甲方用户访问的内容进行任何修改、添加；</w:t>
      </w:r>
    </w:p>
    <w:p>
      <w:pPr>
        <w:pStyle w:val="19"/>
        <w:numPr>
          <w:ilvl w:val="3"/>
          <w:numId w:val="0"/>
        </w:numPr>
        <w:spacing w:line="360" w:lineRule="auto"/>
        <w:ind w:leftChars="0"/>
        <w:rPr>
          <w:rFonts w:hint="eastAsia" w:ascii="宋体" w:hAnsi="宋体" w:eastAsia="宋体" w:cs="宋体"/>
          <w:sz w:val="28"/>
          <w:szCs w:val="28"/>
        </w:rPr>
      </w:pPr>
      <w:r>
        <w:rPr>
          <w:rFonts w:hint="eastAsia" w:ascii="宋体" w:hAnsi="宋体" w:eastAsia="宋体" w:cs="宋体"/>
          <w:sz w:val="28"/>
          <w:szCs w:val="28"/>
          <w:lang w:val="en-US" w:eastAsia="zh-CN"/>
        </w:rPr>
        <w:t>3、</w:t>
      </w:r>
      <w:r>
        <w:rPr>
          <w:rFonts w:hint="eastAsia" w:ascii="宋体" w:hAnsi="宋体" w:eastAsia="宋体" w:cs="宋体"/>
          <w:sz w:val="28"/>
          <w:szCs w:val="28"/>
        </w:rPr>
        <w:t>乙方提供互联网出口不得针对甲方用户访问上行请求进行劫持、重定向；</w:t>
      </w:r>
    </w:p>
    <w:p>
      <w:pPr>
        <w:pStyle w:val="19"/>
        <w:numPr>
          <w:ilvl w:val="3"/>
          <w:numId w:val="0"/>
        </w:numPr>
        <w:spacing w:line="360" w:lineRule="auto"/>
        <w:ind w:leftChars="0"/>
        <w:rPr>
          <w:rFonts w:hint="eastAsia" w:ascii="宋体" w:hAnsi="宋体" w:eastAsia="宋体" w:cs="宋体"/>
          <w:sz w:val="28"/>
          <w:szCs w:val="28"/>
        </w:rPr>
      </w:pPr>
      <w:r>
        <w:rPr>
          <w:rFonts w:hint="eastAsia" w:ascii="宋体" w:hAnsi="宋体" w:eastAsia="宋体" w:cs="宋体"/>
          <w:sz w:val="28"/>
          <w:szCs w:val="28"/>
          <w:lang w:val="en-US" w:eastAsia="zh-CN"/>
        </w:rPr>
        <w:t>4、</w:t>
      </w:r>
      <w:r>
        <w:rPr>
          <w:rFonts w:hint="eastAsia" w:ascii="宋体" w:hAnsi="宋体" w:eastAsia="宋体" w:cs="宋体"/>
          <w:sz w:val="28"/>
          <w:szCs w:val="28"/>
        </w:rPr>
        <w:t>乙方提供互联网出口不得针对甲方用户访问的页面插入或弹出广告；</w:t>
      </w:r>
    </w:p>
    <w:p>
      <w:pPr>
        <w:pStyle w:val="2"/>
        <w:keepLines/>
        <w:numPr>
          <w:ilvl w:val="0"/>
          <w:numId w:val="0"/>
        </w:numPr>
        <w:tabs>
          <w:tab w:val="left" w:pos="567"/>
        </w:tabs>
        <w:ind w:leftChars="0"/>
        <w:jc w:val="left"/>
        <w:rPr>
          <w:rFonts w:hint="eastAsia" w:ascii="宋体" w:hAnsi="宋体" w:eastAsia="宋体" w:cs="宋体"/>
          <w:color w:val="auto"/>
          <w:sz w:val="28"/>
          <w:szCs w:val="28"/>
        </w:rPr>
      </w:pPr>
      <w:bookmarkStart w:id="7" w:name="_Toc470081663"/>
      <w:bookmarkStart w:id="8" w:name="_Toc525753439"/>
      <w:r>
        <w:rPr>
          <w:rFonts w:hint="eastAsia" w:ascii="宋体" w:hAnsi="宋体" w:eastAsia="宋体" w:cs="宋体"/>
          <w:color w:val="auto"/>
          <w:sz w:val="28"/>
          <w:szCs w:val="28"/>
          <w:lang w:val="en-US" w:eastAsia="zh-CN"/>
        </w:rPr>
        <w:t>三、</w:t>
      </w:r>
      <w:r>
        <w:rPr>
          <w:rFonts w:hint="eastAsia" w:ascii="宋体" w:hAnsi="宋体" w:eastAsia="宋体" w:cs="宋体"/>
          <w:color w:val="auto"/>
          <w:sz w:val="28"/>
          <w:szCs w:val="28"/>
        </w:rPr>
        <w:t>故障处理与维护服务基本要求</w:t>
      </w:r>
      <w:bookmarkEnd w:id="7"/>
      <w:bookmarkEnd w:id="8"/>
    </w:p>
    <w:p>
      <w:pPr>
        <w:pStyle w:val="18"/>
        <w:numPr>
          <w:ilvl w:val="2"/>
          <w:numId w:val="0"/>
        </w:numPr>
        <w:tabs>
          <w:tab w:val="clear" w:pos="567"/>
        </w:tabs>
        <w:spacing w:line="360" w:lineRule="auto"/>
        <w:ind w:leftChars="0"/>
        <w:rPr>
          <w:rFonts w:hint="eastAsia" w:ascii="宋体" w:hAnsi="宋体" w:eastAsia="宋体" w:cs="宋体"/>
          <w:sz w:val="28"/>
          <w:szCs w:val="28"/>
        </w:rPr>
      </w:pPr>
      <w:r>
        <w:rPr>
          <w:rFonts w:hint="eastAsia" w:ascii="宋体" w:hAnsi="宋体" w:eastAsia="宋体" w:cs="宋体"/>
          <w:sz w:val="28"/>
          <w:szCs w:val="28"/>
          <w:lang w:val="en-US" w:eastAsia="zh-CN"/>
        </w:rPr>
        <w:t>1、</w:t>
      </w:r>
      <w:r>
        <w:rPr>
          <w:rFonts w:hint="eastAsia" w:ascii="宋体" w:hAnsi="宋体" w:eastAsia="宋体" w:cs="宋体"/>
          <w:sz w:val="28"/>
          <w:szCs w:val="28"/>
        </w:rPr>
        <w:t>乙方提供7×24小时热线服务，并在接到甲方的故障申告电话后立即响应；故障申告时间以甲方电话申告的时间为准，故障消除时间以乙方提供的并经甲方确认的时间为准。</w:t>
      </w:r>
    </w:p>
    <w:p>
      <w:pPr>
        <w:pStyle w:val="18"/>
        <w:numPr>
          <w:ilvl w:val="2"/>
          <w:numId w:val="0"/>
        </w:numPr>
        <w:tabs>
          <w:tab w:val="clear" w:pos="567"/>
        </w:tabs>
        <w:spacing w:line="360" w:lineRule="auto"/>
        <w:ind w:leftChars="0"/>
        <w:rPr>
          <w:rFonts w:hint="eastAsia" w:ascii="宋体" w:hAnsi="宋体" w:eastAsia="宋体" w:cs="宋体"/>
          <w:sz w:val="28"/>
          <w:szCs w:val="28"/>
        </w:rPr>
      </w:pPr>
      <w:r>
        <w:rPr>
          <w:rFonts w:hint="eastAsia" w:ascii="宋体" w:hAnsi="宋体" w:eastAsia="宋体" w:cs="宋体"/>
          <w:sz w:val="28"/>
          <w:szCs w:val="28"/>
          <w:lang w:val="en-US" w:eastAsia="zh-CN"/>
        </w:rPr>
        <w:t>2、</w:t>
      </w:r>
      <w:r>
        <w:rPr>
          <w:rFonts w:hint="eastAsia" w:ascii="宋体" w:hAnsi="宋体" w:eastAsia="宋体" w:cs="宋体"/>
          <w:sz w:val="28"/>
          <w:szCs w:val="28"/>
        </w:rPr>
        <w:t>除不可抗力外，乙方应在故障申告时间开始后的24小时内恢复网络正常。乙方如因网络调整等原因需要暂时中断或部分中断网络，应尽可能安排在非忙时进行，同时必须提前24小时书面通知甲方。</w:t>
      </w:r>
    </w:p>
    <w:p>
      <w:pPr>
        <w:pStyle w:val="18"/>
        <w:numPr>
          <w:ilvl w:val="2"/>
          <w:numId w:val="0"/>
        </w:numPr>
        <w:tabs>
          <w:tab w:val="clear" w:pos="567"/>
        </w:tabs>
        <w:spacing w:line="360" w:lineRule="auto"/>
        <w:ind w:leftChars="0"/>
        <w:rPr>
          <w:rFonts w:hint="eastAsia" w:ascii="宋体" w:hAnsi="宋体" w:eastAsia="宋体" w:cs="宋体"/>
          <w:sz w:val="28"/>
          <w:szCs w:val="28"/>
        </w:rPr>
      </w:pPr>
      <w:r>
        <w:rPr>
          <w:rFonts w:hint="eastAsia" w:ascii="宋体" w:hAnsi="宋体" w:eastAsia="宋体" w:cs="宋体"/>
          <w:sz w:val="28"/>
          <w:szCs w:val="28"/>
          <w:lang w:val="en-US" w:eastAsia="zh-CN"/>
        </w:rPr>
        <w:t>3、</w:t>
      </w:r>
      <w:r>
        <w:rPr>
          <w:rFonts w:hint="eastAsia" w:ascii="宋体" w:hAnsi="宋体" w:eastAsia="宋体" w:cs="宋体"/>
          <w:sz w:val="28"/>
          <w:szCs w:val="28"/>
        </w:rPr>
        <w:t>乙方应当向甲方提供有效的联系人信息和联系方式，如遇到设备紧急故障或存在重大漏洞需要紧急处理和修补提前30分钟通知甲方或其指定的联系人。</w:t>
      </w:r>
    </w:p>
    <w:p>
      <w:pPr>
        <w:pStyle w:val="18"/>
        <w:numPr>
          <w:ilvl w:val="2"/>
          <w:numId w:val="0"/>
        </w:numPr>
        <w:tabs>
          <w:tab w:val="clear" w:pos="567"/>
        </w:tabs>
        <w:spacing w:line="360" w:lineRule="auto"/>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D703560"/>
    <w:multiLevelType w:val="multilevel"/>
    <w:tmpl w:val="6D703560"/>
    <w:lvl w:ilvl="0" w:tentative="0">
      <w:start w:val="1"/>
      <w:numFmt w:val="ideographDigital"/>
      <w:suff w:val="space"/>
      <w:lvlText w:val="第%1部分、"/>
      <w:lvlJc w:val="left"/>
      <w:pPr>
        <w:ind w:left="0" w:firstLine="0"/>
      </w:pPr>
      <w:rPr>
        <w:rFonts w:hint="eastAsia" w:ascii="仿宋_GB2312" w:hAnsi="仿宋_GB2312" w:eastAsia="仿宋_GB2312" w:cs="Times New Roman"/>
      </w:rPr>
    </w:lvl>
    <w:lvl w:ilvl="1" w:tentative="0">
      <w:start w:val="1"/>
      <w:numFmt w:val="chineseCountingThousand"/>
      <w:lvlText w:val="%2、"/>
      <w:lvlJc w:val="left"/>
      <w:pPr>
        <w:tabs>
          <w:tab w:val="left" w:pos="1135"/>
        </w:tabs>
        <w:ind w:left="0" w:firstLine="0"/>
      </w:pPr>
      <w:rPr>
        <w:rFonts w:hint="eastAsia"/>
      </w:rPr>
    </w:lvl>
    <w:lvl w:ilvl="2" w:tentative="0">
      <w:start w:val="1"/>
      <w:numFmt w:val="decimal"/>
      <w:pStyle w:val="18"/>
      <w:suff w:val="space"/>
      <w:lvlText w:val="%3、"/>
      <w:lvlJc w:val="left"/>
      <w:pPr>
        <w:ind w:left="284" w:firstLine="0"/>
      </w:pPr>
      <w:rPr>
        <w:rFonts w:hint="eastAsia" w:ascii="宋体" w:hAnsi="宋体" w:eastAsia="宋体" w:cs="Times New Roman"/>
        <w:sz w:val="18"/>
        <w:szCs w:val="18"/>
      </w:rPr>
    </w:lvl>
    <w:lvl w:ilvl="3" w:tentative="0">
      <w:start w:val="1"/>
      <w:numFmt w:val="decimal"/>
      <w:pStyle w:val="19"/>
      <w:suff w:val="space"/>
      <w:lvlText w:val="%3.%4、"/>
      <w:lvlJc w:val="left"/>
      <w:pPr>
        <w:ind w:left="0" w:firstLine="0"/>
      </w:pPr>
      <w:rPr>
        <w:rFonts w:hint="eastAsia" w:ascii="仿宋_GB2312" w:hAnsi="仿宋_GB2312" w:eastAsia="仿宋_GB2312" w:cs="Times New Roman"/>
      </w:rPr>
    </w:lvl>
    <w:lvl w:ilvl="4" w:tentative="0">
      <w:start w:val="2"/>
      <w:numFmt w:val="decimalEnclosedCircle"/>
      <w:lvlText w:val="%5"/>
      <w:lvlJc w:val="left"/>
      <w:pPr>
        <w:ind w:left="530" w:hanging="360"/>
      </w:pPr>
      <w:rPr>
        <w:rFonts w:hint="default"/>
      </w:rPr>
    </w:lvl>
    <w:lvl w:ilvl="5" w:tentative="0">
      <w:start w:val="2"/>
      <w:numFmt w:val="decimalEnclosedCircle"/>
      <w:lvlText w:val="%6"/>
      <w:lvlJc w:val="left"/>
      <w:pPr>
        <w:ind w:left="587" w:hanging="360"/>
      </w:pPr>
      <w:rPr>
        <w:rFonts w:hint="default"/>
      </w:rPr>
    </w:lvl>
    <w:lvl w:ilvl="6" w:tentative="0">
      <w:start w:val="1"/>
      <w:numFmt w:val="decimal"/>
      <w:suff w:val="space"/>
      <w:lvlText w:val="%2.%3.%4.%5.%6.%7"/>
      <w:lvlJc w:val="left"/>
      <w:pPr>
        <w:ind w:left="432" w:hanging="32"/>
      </w:pPr>
      <w:rPr>
        <w:rFonts w:hint="eastAsia" w:ascii="仿宋_GB2312" w:hAnsi="仿宋_GB2312" w:eastAsia="仿宋_GB2312" w:cs="Times New Roman"/>
      </w:rPr>
    </w:lvl>
    <w:lvl w:ilvl="7" w:tentative="0">
      <w:start w:val="1"/>
      <w:numFmt w:val="decimal"/>
      <w:lvlText w:val="%1.%2.%3.%4.%5.%6.%7.%8"/>
      <w:lvlJc w:val="left"/>
      <w:pPr>
        <w:tabs>
          <w:tab w:val="left" w:pos="4380"/>
        </w:tabs>
        <w:ind w:left="4380" w:hanging="1440"/>
      </w:pPr>
      <w:rPr>
        <w:rFonts w:hint="eastAsia" w:ascii="仿宋_GB2312" w:hAnsi="仿宋_GB2312" w:eastAsia="仿宋_GB2312" w:cs="Times New Roman"/>
      </w:rPr>
    </w:lvl>
    <w:lvl w:ilvl="8" w:tentative="0">
      <w:start w:val="1"/>
      <w:numFmt w:val="decimal"/>
      <w:lvlText w:val="%1.%2.%3.%4.%5.%6.%7.%8.%9"/>
      <w:lvlJc w:val="left"/>
      <w:pPr>
        <w:tabs>
          <w:tab w:val="left" w:pos="5160"/>
        </w:tabs>
        <w:ind w:left="5160" w:hanging="1800"/>
      </w:pPr>
      <w:rPr>
        <w:rFonts w:hint="eastAsia" w:ascii="仿宋_GB2312" w:hAnsi="仿宋_GB2312" w:eastAsia="仿宋_GB2312"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WE5YjllZmY2M2E1NGNiNjg3NmM3OGQ5ODBmZjZjMmUifQ=="/>
  </w:docVars>
  <w:rsids>
    <w:rsidRoot w:val="00522BA7"/>
    <w:rsid w:val="00023645"/>
    <w:rsid w:val="00064E36"/>
    <w:rsid w:val="000903E9"/>
    <w:rsid w:val="000A2BAC"/>
    <w:rsid w:val="00150FC4"/>
    <w:rsid w:val="001E55F9"/>
    <w:rsid w:val="00225CB8"/>
    <w:rsid w:val="00330343"/>
    <w:rsid w:val="00354D79"/>
    <w:rsid w:val="003550B4"/>
    <w:rsid w:val="00380630"/>
    <w:rsid w:val="00503835"/>
    <w:rsid w:val="00522BA7"/>
    <w:rsid w:val="00552541"/>
    <w:rsid w:val="00576FC8"/>
    <w:rsid w:val="005F757D"/>
    <w:rsid w:val="00603B6E"/>
    <w:rsid w:val="00615057"/>
    <w:rsid w:val="00615996"/>
    <w:rsid w:val="00725326"/>
    <w:rsid w:val="00801644"/>
    <w:rsid w:val="00816241"/>
    <w:rsid w:val="00886F90"/>
    <w:rsid w:val="008A36A2"/>
    <w:rsid w:val="008F7FBD"/>
    <w:rsid w:val="00912DB3"/>
    <w:rsid w:val="00971B85"/>
    <w:rsid w:val="009E58BB"/>
    <w:rsid w:val="00A1220D"/>
    <w:rsid w:val="00A44A91"/>
    <w:rsid w:val="00A52ED3"/>
    <w:rsid w:val="00A7506B"/>
    <w:rsid w:val="00AA6CC9"/>
    <w:rsid w:val="00AB3B64"/>
    <w:rsid w:val="00C67443"/>
    <w:rsid w:val="00C76CC0"/>
    <w:rsid w:val="00C80D95"/>
    <w:rsid w:val="00C87517"/>
    <w:rsid w:val="00CD4A3B"/>
    <w:rsid w:val="00D546D9"/>
    <w:rsid w:val="00D6439B"/>
    <w:rsid w:val="00DB2241"/>
    <w:rsid w:val="00DB6291"/>
    <w:rsid w:val="00DC3241"/>
    <w:rsid w:val="00DE3B31"/>
    <w:rsid w:val="00E96DDB"/>
    <w:rsid w:val="00EF15E2"/>
    <w:rsid w:val="00F21774"/>
    <w:rsid w:val="0D1F4AB4"/>
    <w:rsid w:val="10EF09C7"/>
    <w:rsid w:val="113B3109"/>
    <w:rsid w:val="3CD70781"/>
    <w:rsid w:val="522D51B0"/>
    <w:rsid w:val="565D0271"/>
    <w:rsid w:val="57DE02A3"/>
    <w:rsid w:val="58FD530E"/>
    <w:rsid w:val="5E550D85"/>
    <w:rsid w:val="75C92E93"/>
    <w:rsid w:val="77187E06"/>
    <w:rsid w:val="7EE952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paragraph" w:styleId="2">
    <w:name w:val="heading 1"/>
    <w:basedOn w:val="1"/>
    <w:next w:val="1"/>
    <w:link w:val="11"/>
    <w:qFormat/>
    <w:uiPriority w:val="0"/>
    <w:pPr>
      <w:keepNext/>
      <w:widowControl w:val="0"/>
      <w:spacing w:line="360" w:lineRule="auto"/>
      <w:jc w:val="center"/>
      <w:outlineLvl w:val="0"/>
    </w:pPr>
    <w:rPr>
      <w:rFonts w:ascii="Times New Roman" w:hAnsi="Times New Roman" w:cs="Times New Roman"/>
      <w:b/>
      <w:color w:val="000000"/>
      <w:kern w:val="2"/>
      <w:sz w:val="32"/>
    </w:rPr>
  </w:style>
  <w:style w:type="paragraph" w:styleId="3">
    <w:name w:val="heading 3"/>
    <w:basedOn w:val="1"/>
    <w:next w:val="1"/>
    <w:link w:val="12"/>
    <w:qFormat/>
    <w:uiPriority w:val="0"/>
    <w:pPr>
      <w:autoSpaceDE w:val="0"/>
      <w:autoSpaceDN w:val="0"/>
      <w:spacing w:before="120" w:after="120" w:line="300" w:lineRule="auto"/>
      <w:jc w:val="both"/>
      <w:outlineLvl w:val="2"/>
    </w:pPr>
    <w:rPr>
      <w:rFonts w:ascii="Times New Roman" w:hAnsi="Times New Roman" w:cs="Times New Roman"/>
      <w:kern w:val="2"/>
      <w:szCs w:val="20"/>
    </w:rPr>
  </w:style>
  <w:style w:type="character" w:default="1" w:styleId="10">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4">
    <w:name w:val="Normal Indent"/>
    <w:basedOn w:val="1"/>
    <w:link w:val="15"/>
    <w:autoRedefine/>
    <w:qFormat/>
    <w:uiPriority w:val="0"/>
    <w:pPr>
      <w:widowControl w:val="0"/>
      <w:ind w:firstLine="420" w:firstLineChars="200"/>
      <w:jc w:val="both"/>
    </w:pPr>
    <w:rPr>
      <w:rFonts w:ascii="Times New Roman" w:hAnsi="Times New Roman" w:cs="Times New Roman"/>
      <w:kern w:val="2"/>
      <w:sz w:val="21"/>
    </w:rPr>
  </w:style>
  <w:style w:type="paragraph" w:styleId="5">
    <w:name w:val="Plain Text"/>
    <w:basedOn w:val="1"/>
    <w:link w:val="22"/>
    <w:semiHidden/>
    <w:unhideWhenUsed/>
    <w:uiPriority w:val="99"/>
    <w:rPr>
      <w:rFonts w:hAnsi="Courier New" w:cs="Courier New"/>
      <w:sz w:val="21"/>
      <w:szCs w:val="21"/>
    </w:rPr>
  </w:style>
  <w:style w:type="paragraph" w:styleId="6">
    <w:name w:val="footer"/>
    <w:basedOn w:val="1"/>
    <w:link w:val="24"/>
    <w:autoRedefine/>
    <w:unhideWhenUsed/>
    <w:qFormat/>
    <w:uiPriority w:val="99"/>
    <w:pPr>
      <w:tabs>
        <w:tab w:val="center" w:pos="4153"/>
        <w:tab w:val="right" w:pos="8306"/>
      </w:tabs>
      <w:snapToGrid w:val="0"/>
    </w:pPr>
    <w:rPr>
      <w:sz w:val="18"/>
      <w:szCs w:val="18"/>
    </w:rPr>
  </w:style>
  <w:style w:type="paragraph" w:styleId="7">
    <w:name w:val="header"/>
    <w:basedOn w:val="1"/>
    <w:link w:val="23"/>
    <w:unhideWhenUsed/>
    <w:qFormat/>
    <w:uiPriority w:val="99"/>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59"/>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1">
    <w:name w:val="标题 1 字符"/>
    <w:basedOn w:val="10"/>
    <w:link w:val="2"/>
    <w:autoRedefine/>
    <w:qFormat/>
    <w:uiPriority w:val="0"/>
    <w:rPr>
      <w:rFonts w:ascii="Times New Roman" w:hAnsi="Times New Roman" w:eastAsia="宋体" w:cs="Times New Roman"/>
      <w:b/>
      <w:color w:val="000000"/>
      <w:sz w:val="32"/>
      <w:szCs w:val="24"/>
    </w:rPr>
  </w:style>
  <w:style w:type="character" w:customStyle="1" w:styleId="12">
    <w:name w:val="标题 3 字符"/>
    <w:basedOn w:val="10"/>
    <w:link w:val="3"/>
    <w:autoRedefine/>
    <w:uiPriority w:val="0"/>
    <w:rPr>
      <w:rFonts w:ascii="Times New Roman" w:hAnsi="Times New Roman" w:eastAsia="宋体" w:cs="Times New Roman"/>
      <w:sz w:val="24"/>
      <w:szCs w:val="20"/>
    </w:rPr>
  </w:style>
  <w:style w:type="character" w:customStyle="1" w:styleId="13">
    <w:name w:val="列出段落 Char"/>
    <w:basedOn w:val="10"/>
    <w:link w:val="14"/>
    <w:autoRedefine/>
    <w:qFormat/>
    <w:uiPriority w:val="34"/>
    <w:rPr>
      <w:rFonts w:eastAsia="宋体"/>
      <w:szCs w:val="24"/>
    </w:rPr>
  </w:style>
  <w:style w:type="paragraph" w:customStyle="1" w:styleId="14">
    <w:name w:val="列出段落1"/>
    <w:basedOn w:val="1"/>
    <w:link w:val="13"/>
    <w:qFormat/>
    <w:uiPriority w:val="34"/>
    <w:pPr>
      <w:widowControl w:val="0"/>
      <w:ind w:firstLine="420" w:firstLineChars="200"/>
      <w:jc w:val="both"/>
    </w:pPr>
    <w:rPr>
      <w:rFonts w:asciiTheme="minorHAnsi" w:hAnsiTheme="minorHAnsi" w:cstheme="minorBidi"/>
      <w:kern w:val="2"/>
      <w:sz w:val="21"/>
    </w:rPr>
  </w:style>
  <w:style w:type="character" w:customStyle="1" w:styleId="15">
    <w:name w:val="正文缩进 字符"/>
    <w:basedOn w:val="10"/>
    <w:link w:val="4"/>
    <w:qFormat/>
    <w:uiPriority w:val="0"/>
    <w:rPr>
      <w:rFonts w:ascii="Times New Roman" w:hAnsi="Times New Roman" w:eastAsia="宋体" w:cs="Times New Roman"/>
      <w:szCs w:val="24"/>
    </w:rPr>
  </w:style>
  <w:style w:type="paragraph" w:styleId="16">
    <w:name w:val="List Paragraph"/>
    <w:basedOn w:val="1"/>
    <w:link w:val="17"/>
    <w:qFormat/>
    <w:uiPriority w:val="34"/>
    <w:pPr>
      <w:widowControl w:val="0"/>
      <w:ind w:firstLine="420" w:firstLineChars="200"/>
      <w:jc w:val="both"/>
    </w:pPr>
    <w:rPr>
      <w:rFonts w:ascii="Times New Roman" w:hAnsi="Times New Roman" w:cs="Times New Roman"/>
      <w:kern w:val="2"/>
      <w:sz w:val="28"/>
      <w:szCs w:val="20"/>
    </w:rPr>
  </w:style>
  <w:style w:type="character" w:customStyle="1" w:styleId="17">
    <w:name w:val="列表段落 字符"/>
    <w:basedOn w:val="10"/>
    <w:link w:val="16"/>
    <w:qFormat/>
    <w:uiPriority w:val="34"/>
    <w:rPr>
      <w:rFonts w:ascii="Times New Roman" w:hAnsi="Times New Roman" w:eastAsia="宋体" w:cs="Times New Roman"/>
      <w:sz w:val="28"/>
      <w:szCs w:val="20"/>
    </w:rPr>
  </w:style>
  <w:style w:type="paragraph" w:customStyle="1" w:styleId="18">
    <w:name w:val="样式6"/>
    <w:basedOn w:val="5"/>
    <w:link w:val="20"/>
    <w:qFormat/>
    <w:uiPriority w:val="0"/>
    <w:pPr>
      <w:keepLines/>
      <w:widowControl w:val="0"/>
      <w:numPr>
        <w:ilvl w:val="2"/>
        <w:numId w:val="1"/>
      </w:numPr>
      <w:tabs>
        <w:tab w:val="left" w:pos="567"/>
      </w:tabs>
    </w:pPr>
    <w:rPr>
      <w:rFonts w:hAnsi="宋体" w:cs="宋体"/>
      <w:kern w:val="2"/>
      <w:sz w:val="18"/>
      <w:szCs w:val="18"/>
    </w:rPr>
  </w:style>
  <w:style w:type="paragraph" w:customStyle="1" w:styleId="19">
    <w:name w:val="样式7"/>
    <w:basedOn w:val="5"/>
    <w:link w:val="21"/>
    <w:qFormat/>
    <w:uiPriority w:val="0"/>
    <w:pPr>
      <w:keepLines/>
      <w:widowControl w:val="0"/>
      <w:numPr>
        <w:ilvl w:val="3"/>
        <w:numId w:val="1"/>
      </w:numPr>
      <w:tabs>
        <w:tab w:val="left" w:pos="227"/>
        <w:tab w:val="left" w:pos="567"/>
      </w:tabs>
    </w:pPr>
    <w:rPr>
      <w:rFonts w:hAnsi="宋体" w:cs="宋体"/>
      <w:kern w:val="2"/>
      <w:sz w:val="18"/>
      <w:szCs w:val="18"/>
    </w:rPr>
  </w:style>
  <w:style w:type="character" w:customStyle="1" w:styleId="20">
    <w:name w:val="样式6 Char"/>
    <w:basedOn w:val="10"/>
    <w:link w:val="18"/>
    <w:uiPriority w:val="0"/>
    <w:rPr>
      <w:rFonts w:ascii="宋体" w:hAnsi="宋体" w:eastAsia="宋体" w:cs="宋体"/>
      <w:sz w:val="18"/>
      <w:szCs w:val="18"/>
    </w:rPr>
  </w:style>
  <w:style w:type="character" w:customStyle="1" w:styleId="21">
    <w:name w:val="样式7 Char"/>
    <w:basedOn w:val="10"/>
    <w:link w:val="19"/>
    <w:qFormat/>
    <w:uiPriority w:val="0"/>
    <w:rPr>
      <w:rFonts w:ascii="宋体" w:hAnsi="宋体" w:eastAsia="宋体" w:cs="宋体"/>
      <w:sz w:val="18"/>
      <w:szCs w:val="18"/>
    </w:rPr>
  </w:style>
  <w:style w:type="character" w:customStyle="1" w:styleId="22">
    <w:name w:val="纯文本 字符"/>
    <w:basedOn w:val="10"/>
    <w:link w:val="5"/>
    <w:semiHidden/>
    <w:qFormat/>
    <w:uiPriority w:val="99"/>
    <w:rPr>
      <w:rFonts w:ascii="宋体" w:hAnsi="Courier New" w:eastAsia="宋体" w:cs="Courier New"/>
      <w:kern w:val="0"/>
      <w:szCs w:val="21"/>
    </w:rPr>
  </w:style>
  <w:style w:type="character" w:customStyle="1" w:styleId="23">
    <w:name w:val="页眉 字符"/>
    <w:basedOn w:val="10"/>
    <w:link w:val="7"/>
    <w:qFormat/>
    <w:uiPriority w:val="99"/>
    <w:rPr>
      <w:rFonts w:ascii="宋体" w:hAnsi="宋体" w:eastAsia="宋体" w:cs="宋体"/>
      <w:kern w:val="0"/>
      <w:sz w:val="18"/>
      <w:szCs w:val="18"/>
    </w:rPr>
  </w:style>
  <w:style w:type="character" w:customStyle="1" w:styleId="24">
    <w:name w:val="页脚 字符"/>
    <w:basedOn w:val="10"/>
    <w:link w:val="6"/>
    <w:qFormat/>
    <w:uiPriority w:val="99"/>
    <w:rPr>
      <w:rFonts w:ascii="宋体" w:hAnsi="宋体" w:eastAsia="宋体" w:cs="宋体"/>
      <w:kern w:val="0"/>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83</Words>
  <Characters>475</Characters>
  <Lines>3</Lines>
  <Paragraphs>1</Paragraphs>
  <TotalTime>1</TotalTime>
  <ScaleCrop>false</ScaleCrop>
  <LinksUpToDate>false</LinksUpToDate>
  <CharactersWithSpaces>557</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2019-07-05T05:48:00Z</dcterms:created>
  <dc:creator>xu xu</dc:creator>
  <cp:lastModifiedBy>WPS_1654673419</cp:lastModifiedBy>
  <dcterms:modified xsi:type="dcterms:W3CDTF">2024-04-02T00:36:48Z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1615CA848C5B478586F8BA63A0BA13B2</vt:lpwstr>
  </property>
</Properties>
</file>