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0" w:beforeLines="50" w:after="190" w:afterLines="5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MDT 管理系统</w:t>
      </w: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建设申请报告</w:t>
      </w:r>
    </w:p>
    <w:p>
      <w:pPr>
        <w:spacing w:line="360" w:lineRule="auto"/>
        <w:ind w:firstLine="560" w:firstLineChars="200"/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多学科团队协作（MultipleDisciplinaryTeam,MDT）是以疾病特征为基础，综合患者身体状况和客观条件，基于遗传学背景、分子基因检测，在循证医学证据指导下多学科合作为患者提供有计划的科学、规范、合理的个体化治疗。</w:t>
      </w:r>
    </w:p>
    <w:p>
      <w:pPr>
        <w:spacing w:line="360" w:lineRule="auto"/>
        <w:ind w:firstLine="560" w:firstLineChars="200"/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多学科团队一般包括外科、病理科、呼吸科、放射科、肿瘤科、介入科等学科的专家，旨在针对某一特殊病例通过不同学科的视角，给病人提供更加专业、高效的诊断、治疗、随访建议，通过多种治疗手段相结合实现精准化、个体化治疗，提高患者远期生存率和生活质量。多年的临床实践证实，患者经过多个学科共同讨论后制定的综合治疗方案，可以提高患者的生活质量并延长无疾病生存期。同时MDT在打破学科之间壁垒的同时，可以有效推进学科建设，实现医生、科室和医院的共同提高。</w:t>
      </w:r>
    </w:p>
    <w:p>
      <w:pPr>
        <w:spacing w:line="360" w:lineRule="auto"/>
        <w:ind w:firstLine="560" w:firstLineChars="200"/>
        <w:rPr>
          <w:rFonts w:hint="default" w:ascii="宋体" w:hAnsi="宋体" w:eastAsia="宋体"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近年来，国家与政府层面不断出台多学科协作诊疗（MDT）相关政策与指导意见，从肿瘤、专科、医疗治疗提升、患者体验等不同维度，大力推动MDT的发展。2018年，国家卫健委公布第一批肿瘤（消化系统）多学科诊疗试点医院名单，中国实施MDT的三级甲等医院共有231家，占三甲医院的16%，三级医院的9%。随着政策不断推动，MDT模式飞速发展，已成为21世纪治疗肿瘤的最佳模式。然而，受限于MDT发展时间尚短，MDT诊疗仍存在很多问题，主要表现在以下几个方面：MDT会议组织效率低</w:t>
      </w:r>
      <w:r>
        <w:rPr>
          <w:rFonts w:hint="eastAsia" w:ascii="宋体" w:hAnsi="宋体" w:eastAsia="宋体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专家资源有限</w:t>
      </w:r>
      <w:r>
        <w:rPr>
          <w:rFonts w:hint="eastAsia" w:ascii="宋体" w:hAnsi="宋体" w:eastAsia="宋体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专家认知多样性</w:t>
      </w:r>
      <w:r>
        <w:rPr>
          <w:rFonts w:hint="eastAsia" w:ascii="宋体" w:hAnsi="宋体" w:eastAsia="宋体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患者全生命周期无法跟踪</w:t>
      </w:r>
      <w:r>
        <w:rPr>
          <w:rFonts w:hint="eastAsia" w:ascii="宋体" w:hAnsi="宋体" w:eastAsia="宋体"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  <w:t>等问题，</w:t>
      </w:r>
      <w:r>
        <w:rPr>
          <w:rFonts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因此搭建</w:t>
      </w:r>
      <w:r>
        <w:rPr>
          <w:rFonts w:hint="eastAsia" w:ascii="宋体" w:hAnsi="宋体" w:eastAsia="宋体"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  <w:t>MDT 管理系统的建设</w:t>
      </w:r>
      <w:r>
        <w:rPr>
          <w:rFonts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迫在眉睫。</w:t>
      </w:r>
    </w:p>
    <w:p>
      <w:pPr>
        <w:spacing w:line="360" w:lineRule="auto"/>
        <w:ind w:firstLine="560" w:firstLineChars="200"/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医务科</w:t>
      </w:r>
      <w:r>
        <w:rPr>
          <w:rFonts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宋体" w:hAnsi="宋体" w:eastAsia="宋体"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  <w:t>MDT 管理系统</w:t>
      </w:r>
      <w:r>
        <w:rPr>
          <w:rFonts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的设想应具有以下</w:t>
      </w:r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特点：</w:t>
      </w:r>
    </w:p>
    <w:p>
      <w:pPr>
        <w:spacing w:line="360" w:lineRule="auto"/>
        <w:ind w:firstLine="560" w:firstLineChars="200"/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可对院内病例进行监控管理及入组提醒</w:t>
      </w:r>
    </w:p>
    <w:p>
      <w:pPr>
        <w:spacing w:line="360" w:lineRule="auto"/>
        <w:ind w:firstLine="560" w:firstLineChars="200"/>
        <w:rPr>
          <w:rFonts w:hint="default" w:ascii="宋体" w:hAnsi="宋体" w:eastAsia="宋体"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  <w:t>系统可对院内数据进行监控分析，并根据各多学科诊疗团队的纳排标准进行筛选分析，并定期对筛选后的病例数据进行入组提醒，进而有效提高 MDT 就诊人次，提升整体 MDT 就诊率。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宋体" w:hAnsi="宋体" w:eastAsia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高效规范的 MDT 会诊协同能力</w:t>
      </w:r>
    </w:p>
    <w:p>
      <w:pPr>
        <w:spacing w:line="360" w:lineRule="auto"/>
        <w:ind w:firstLine="560" w:firstLineChars="200"/>
        <w:rPr>
          <w:rFonts w:hint="default" w:ascii="宋体" w:hAnsi="宋体" w:eastAsia="宋体"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  <w:t>系统能够与能与HIS、PACS等医院在用系统软件对接，实现 MDT 诊疗信息的自动化制备及一站式查阅分析，提高医生在会诊全周期内的制备、诊断、诊疗效率提升。并可针对各多学科诊疗团队进行会诊模板的规范化管理。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提供完善的MDT随访管理及智能统计分析</w:t>
      </w:r>
    </w:p>
    <w:p>
      <w:pPr>
        <w:spacing w:line="360" w:lineRule="auto"/>
        <w:ind w:firstLine="560" w:firstLineChars="200"/>
        <w:rPr>
          <w:rFonts w:hint="default" w:ascii="宋体" w:hAnsi="宋体" w:eastAsia="宋体"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  <w:t>系统支持 MDT 会诊后患者的情况补充，支持录入后续治疗效果、执行情况、随访情况等信息，辅助医生对已会诊病例进行全周期管理。系统可提供多种维度的会诊数据统计分析。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可与院内即时通信系统协同实现高效会诊</w:t>
      </w:r>
    </w:p>
    <w:p>
      <w:pPr>
        <w:spacing w:line="360" w:lineRule="auto"/>
        <w:ind w:firstLine="560" w:firstLineChars="200"/>
        <w:rPr>
          <w:rFonts w:hint="default" w:ascii="宋体" w:hAnsi="宋体" w:eastAsia="宋体"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  <w:t>系统可以院内即时通信系统（钉钉）打通实现远程音视频会诊、会诊审协同、会诊日程通知、数据制备进度通知等协同信息管理。辅助医生及时在各会诊各阶段对进度的高效管理，并在必要时提供远程会诊能力。</w:t>
      </w:r>
    </w:p>
    <w:p>
      <w:pPr>
        <w:pStyle w:val="12"/>
        <w:widowControl w:val="0"/>
        <w:numPr>
          <w:ilvl w:val="0"/>
          <w:numId w:val="0"/>
        </w:numPr>
        <w:spacing w:line="360" w:lineRule="auto"/>
        <w:jc w:val="both"/>
        <w:rPr>
          <w:rFonts w:ascii="宋体" w:hAnsi="宋体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rPr>
          <w:rFonts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jc w:val="right"/>
        <w:rPr>
          <w:rFonts w:hint="default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医务科</w:t>
      </w:r>
    </w:p>
    <w:p>
      <w:pPr>
        <w:spacing w:line="360" w:lineRule="auto"/>
        <w:ind w:firstLine="560" w:firstLineChars="200"/>
        <w:jc w:val="right"/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宋体" w:hAnsi="宋体" w:eastAsia="宋体"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26</w:t>
      </w:r>
      <w:bookmarkStart w:id="0" w:name="_GoBack"/>
      <w:bookmarkEnd w:id="0"/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0"/>
        </w:tabs>
        <w:jc w:val="center"/>
        <w:rPr>
          <w:rFonts w:ascii="宋体" w:hAnsi="宋体" w:eastAsia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MDT 管理系统</w:t>
      </w:r>
      <w:r>
        <w:rPr>
          <w:rFonts w:hint="eastAsia" w:ascii="宋体" w:hAnsi="宋体" w:eastAsia="宋体" w:cs="微软雅黑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需求清单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2054"/>
        <w:gridCol w:w="2053"/>
        <w:gridCol w:w="4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pct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</w:t>
            </w:r>
          </w:p>
        </w:tc>
        <w:tc>
          <w:tcPr>
            <w:tcW w:w="1111" w:type="pct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一级功能</w:t>
            </w:r>
          </w:p>
        </w:tc>
        <w:tc>
          <w:tcPr>
            <w:tcW w:w="1110" w:type="pct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二级功能</w:t>
            </w:r>
          </w:p>
        </w:tc>
        <w:tc>
          <w:tcPr>
            <w:tcW w:w="2268" w:type="pct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pct"/>
            <w:vMerge w:val="restart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MDT 管理系统</w:t>
            </w:r>
          </w:p>
        </w:tc>
        <w:tc>
          <w:tcPr>
            <w:tcW w:w="1111" w:type="pct"/>
            <w:vMerge w:val="restart"/>
          </w:tcPr>
          <w:p>
            <w:pPr>
              <w:spacing w:line="360" w:lineRule="auto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病例筛选监控</w:t>
            </w:r>
          </w:p>
        </w:tc>
        <w:tc>
          <w:tcPr>
            <w:tcW w:w="1110" w:type="pct"/>
          </w:tcPr>
          <w:p>
            <w:pPr>
              <w:spacing w:line="360" w:lineRule="auto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病例分析监控</w:t>
            </w:r>
          </w:p>
        </w:tc>
        <w:tc>
          <w:tcPr>
            <w:tcW w:w="2268" w:type="pct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支持列表显示当日及当月全院住院和门诊肿瘤患者，根据最新患者诊疗信息进行智能判断是否推荐MDT、推荐等级以及推荐依据。</w:t>
            </w:r>
          </w:p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根据推荐的等级、推荐时间等维度进行智能排序显示推荐列表。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会诊入组提醒</w:t>
            </w:r>
          </w:p>
        </w:tc>
        <w:tc>
          <w:tcPr>
            <w:tcW w:w="2268" w:type="pct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支持定时对推荐患者进行入组提醒。支持对推荐的患者记录直接跳转MDT平台发起一键申请以及批量导出。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pct"/>
            <w:vMerge w:val="continue"/>
          </w:tcPr>
          <w:p>
            <w:pPr>
              <w:spacing w:line="360" w:lineRule="auto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</w:tc>
        <w:tc>
          <w:tcPr>
            <w:tcW w:w="1111" w:type="pct"/>
            <w:vMerge w:val="restart"/>
          </w:tcPr>
          <w:p>
            <w:pPr>
              <w:spacing w:line="360" w:lineRule="auto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诊疗数据集成</w:t>
            </w:r>
          </w:p>
        </w:tc>
        <w:tc>
          <w:tcPr>
            <w:tcW w:w="1110" w:type="pct"/>
          </w:tcPr>
          <w:p>
            <w:pPr>
              <w:spacing w:line="360" w:lineRule="auto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院内顺着数据采集</w:t>
            </w:r>
          </w:p>
        </w:tc>
        <w:tc>
          <w:tcPr>
            <w:tcW w:w="2268" w:type="pct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支持来自 HIS、EMR、PACS、LIS 等不同外部资源患者信息的标准化采集、存储和交换</w:t>
            </w:r>
          </w:p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支持从 PACS 获取 DICOM 影像文件等，包括 CT、MRI、US、DR等影像数据；</w:t>
            </w:r>
          </w:p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支持从 RIS 获取检查诊断报告；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院外患者数据采集</w:t>
            </w:r>
          </w:p>
        </w:tc>
        <w:tc>
          <w:tcPr>
            <w:tcW w:w="2268" w:type="pct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支持手动创建患者、登记患者基本信息以及创建病历；</w:t>
            </w:r>
          </w:p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支持光学扫描系统，数字化患者胶片影像信息；</w:t>
            </w:r>
          </w:p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支持光盘、U 盘等数字媒介影像上传；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restart"/>
          </w:tcPr>
          <w:p>
            <w:pPr>
              <w:spacing w:line="360" w:lineRule="auto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多学科会诊管理</w:t>
            </w:r>
          </w:p>
        </w:tc>
        <w:tc>
          <w:tcPr>
            <w:tcW w:w="1110" w:type="pct"/>
          </w:tcPr>
          <w:p>
            <w:pPr>
              <w:spacing w:line="360" w:lineRule="auto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会诊团队管理</w:t>
            </w:r>
          </w:p>
        </w:tc>
        <w:tc>
          <w:tcPr>
            <w:tcW w:w="2268" w:type="pct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支持会诊专家注册及会诊专家账号绑定等功能；</w:t>
            </w:r>
          </w:p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支持按MDT 会诊团队对专家进行分组；</w:t>
            </w:r>
          </w:p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支持按专家、会诊团队管理数据访问权限；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会诊模板管理</w:t>
            </w:r>
          </w:p>
        </w:tc>
        <w:tc>
          <w:tcPr>
            <w:tcW w:w="2268" w:type="pct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支持多学科会诊模板管理，满足因MDT类型不同或讨论场景而要求的多种病历模板设置及选择。</w:t>
            </w:r>
          </w:p>
          <w:p>
            <w:pPr>
              <w:spacing w:line="360" w:lineRule="auto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提供边编辑边查看患者既往就诊数据的功能，通过右侧视图可查看患者在院内历次就诊的全量诊疗数据，支持便捷地补充病历摘要。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09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会诊申请管理</w:t>
            </w:r>
          </w:p>
        </w:tc>
        <w:tc>
          <w:tcPr>
            <w:tcW w:w="2268" w:type="pct"/>
          </w:tcPr>
          <w:p>
            <w:pPr>
              <w:spacing w:line="360" w:lineRule="auto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支持团队以及非团队两种模式发起会诊申请，并支持团队模式添加临时</w:t>
            </w:r>
            <w:r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专家；</w:t>
            </w:r>
          </w:p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支持设置质控规则，系统自动质控；</w:t>
            </w:r>
          </w:p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</w:t>
            </w:r>
            <w:r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持秘书提前审核申请，如不满足要求，退回补充资料。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会诊随访管理</w:t>
            </w:r>
          </w:p>
        </w:tc>
        <w:tc>
          <w:tcPr>
            <w:tcW w:w="2268" w:type="pct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支持 MDT 会诊后患者管理功能，支持会诊后患者情况补充，支持录入后续治疗效果达到情况、执行</w:t>
            </w:r>
            <w:r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情况、随访情况等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会诊统计分析</w:t>
            </w:r>
          </w:p>
        </w:tc>
        <w:tc>
          <w:tcPr>
            <w:tcW w:w="2268" w:type="pct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支持展示按时间段等条件查看病种分布情况。</w:t>
            </w:r>
          </w:p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支持按照门诊和住院维度查看MDT病历情况、会诊组织情况等数据统计。</w:t>
            </w:r>
          </w:p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支持图表查看统计结果及导出excel显示全部详情。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restart"/>
          </w:tcPr>
          <w:p>
            <w:pPr>
              <w:spacing w:line="360" w:lineRule="auto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多学科会诊协同</w:t>
            </w:r>
          </w:p>
        </w:tc>
        <w:tc>
          <w:tcPr>
            <w:tcW w:w="1110" w:type="pct"/>
          </w:tcPr>
          <w:p>
            <w:pPr>
              <w:spacing w:line="360" w:lineRule="auto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会诊资料实时调阅</w:t>
            </w:r>
          </w:p>
        </w:tc>
        <w:tc>
          <w:tcPr>
            <w:tcW w:w="2268" w:type="pct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支持时间维度或数据类型对患者数据进行自动化整理；</w:t>
            </w:r>
          </w:p>
          <w:p>
            <w:pPr>
              <w:spacing w:line="360" w:lineRule="auto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支持一键打开Dicom 影像数据、病理数据、诊疗数据等信息调阅。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音视频会诊协同</w:t>
            </w:r>
          </w:p>
        </w:tc>
        <w:tc>
          <w:tcPr>
            <w:tcW w:w="2268" w:type="pct"/>
          </w:tcPr>
          <w:p>
            <w:pPr>
              <w:spacing w:line="360" w:lineRule="auto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支持与钉钉音视频会议协同，实现会诊申请自动创建线上会议，并可在会诊中一键键入线上会议。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pct"/>
          </w:tcPr>
          <w:p>
            <w:pPr>
              <w:spacing w:line="360" w:lineRule="auto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会诊进度协同</w:t>
            </w:r>
          </w:p>
        </w:tc>
        <w:tc>
          <w:tcPr>
            <w:tcW w:w="2268" w:type="pct"/>
          </w:tcPr>
          <w:p>
            <w:pPr>
              <w:spacing w:line="360" w:lineRule="auto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支持在会诊各环节中通过即时消息进行信息通知，如申请审核、制备进度、日程时间、修改审核等内容。</w:t>
            </w:r>
          </w:p>
        </w:tc>
      </w:tr>
    </w:tbl>
    <w:p>
      <w:pPr>
        <w:widowControl/>
        <w:jc w:val="left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SimSun-ExtB">
    <w:altName w:val="Noto Serif CJK SC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Noto Serif CJK SC">
    <w:panose1 w:val="02020400000000000000"/>
    <w:charset w:val="86"/>
    <w:family w:val="auto"/>
    <w:pitch w:val="default"/>
    <w:sig w:usb0="30000083" w:usb1="2BDF3C10" w:usb2="00000016" w:usb3="00000000" w:csb0="602E0107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780103"/>
    <w:multiLevelType w:val="multilevel"/>
    <w:tmpl w:val="70780103"/>
    <w:lvl w:ilvl="0" w:tentative="0">
      <w:start w:val="1"/>
      <w:numFmt w:val="decimal"/>
      <w:lvlText w:val="（%1）"/>
      <w:lvlJc w:val="left"/>
      <w:pPr>
        <w:ind w:left="1200" w:hanging="720"/>
      </w:pPr>
      <w:rPr>
        <w:rFonts w:hint="default"/>
        <w:sz w:val="28"/>
        <w:szCs w:val="28"/>
        <w:lang w:val="en-US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MDRjY2U5MDJlNzYxZjFhNDhmZTU1YjJhMWUyOWYifQ=="/>
  </w:docVars>
  <w:rsids>
    <w:rsidRoot w:val="00E339D0"/>
    <w:rsid w:val="00113064"/>
    <w:rsid w:val="00115AC0"/>
    <w:rsid w:val="001D34EF"/>
    <w:rsid w:val="00351CFD"/>
    <w:rsid w:val="003F68EE"/>
    <w:rsid w:val="0040395B"/>
    <w:rsid w:val="0063096A"/>
    <w:rsid w:val="00645771"/>
    <w:rsid w:val="00807532"/>
    <w:rsid w:val="00847BCE"/>
    <w:rsid w:val="00922F20"/>
    <w:rsid w:val="009F5E59"/>
    <w:rsid w:val="00A471F6"/>
    <w:rsid w:val="00B41FA3"/>
    <w:rsid w:val="00D1538D"/>
    <w:rsid w:val="00D56E13"/>
    <w:rsid w:val="00DC5A3A"/>
    <w:rsid w:val="00E07088"/>
    <w:rsid w:val="00E339D0"/>
    <w:rsid w:val="00E86E79"/>
    <w:rsid w:val="00ED1E4F"/>
    <w:rsid w:val="00FD5513"/>
    <w:rsid w:val="3833596D"/>
    <w:rsid w:val="3BE14922"/>
    <w:rsid w:val="3FFD7D7E"/>
    <w:rsid w:val="486C3E47"/>
    <w:rsid w:val="7A3E214F"/>
    <w:rsid w:val="7A8B6F30"/>
    <w:rsid w:val="7EB55503"/>
    <w:rsid w:val="BDE10EFA"/>
    <w:rsid w:val="DC7DC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2 字符"/>
    <w:basedOn w:val="8"/>
    <w:link w:val="2"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12">
    <w:name w:val="List Paragraph"/>
    <w:basedOn w:val="1"/>
    <w:link w:val="13"/>
    <w:qFormat/>
    <w:uiPriority w:val="99"/>
    <w:pPr>
      <w:ind w:firstLine="420" w:firstLineChars="200"/>
    </w:pPr>
    <w:rPr>
      <w:rFonts w:eastAsia="SimSun-ExtB"/>
      <w:sz w:val="24"/>
    </w:rPr>
  </w:style>
  <w:style w:type="character" w:customStyle="1" w:styleId="13">
    <w:name w:val="列表段落 字符"/>
    <w:basedOn w:val="8"/>
    <w:link w:val="12"/>
    <w:qFormat/>
    <w:uiPriority w:val="99"/>
    <w:rPr>
      <w:rFonts w:eastAsia="SimSun-ExtB" w:asciiTheme="minorHAnsi" w:hAnsiTheme="minorHAnsi" w:cstheme="minorBidi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14</Pages>
  <Words>790</Words>
  <Characters>4509</Characters>
  <Lines>37</Lines>
  <Paragraphs>10</Paragraphs>
  <TotalTime>14</TotalTime>
  <ScaleCrop>false</ScaleCrop>
  <LinksUpToDate>false</LinksUpToDate>
  <CharactersWithSpaces>5289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2024-01-07T22:36:00Z</dcterms:created>
  <dc:creator>wpl</dc:creator>
  <cp:lastModifiedBy>李子奇</cp:lastModifiedBy>
  <dcterms:modified xsi:type="dcterms:W3CDTF">2024-03-26T11:25:46Z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1AE0209870F34630BA55A63BDD0F2AB9_12</vt:lpwstr>
  </property>
</Properties>
</file>