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jc w:val="center"/>
        <w:rPr>
          <w:rFonts w:ascii="宋体" w:hAnsi="宋体" w:eastAsia="宋体"/>
          <w:sz w:val="36"/>
          <w:szCs w:val="36"/>
        </w:rPr>
      </w:pPr>
      <w:r>
        <w:rPr>
          <w:rFonts w:hint="eastAsia" w:ascii="宋体" w:hAnsi="宋体" w:eastAsia="宋体"/>
          <w:sz w:val="36"/>
          <w:szCs w:val="36"/>
        </w:rPr>
        <w:t>浙江省肿瘤医院国家癌症区域影像中心平台采购要求</w:t>
      </w:r>
    </w:p>
    <w:p>
      <w:pPr>
        <w:pStyle w:val="3"/>
        <w:numPr>
          <w:ilvl w:val="0"/>
          <w:numId w:val="1"/>
        </w:numPr>
        <w:tabs>
          <w:tab w:val="left" w:pos="720"/>
          <w:tab w:val="left" w:pos="1980"/>
        </w:tabs>
        <w:spacing w:before="156" w:beforeLines="50" w:after="156" w:afterLines="50" w:line="440" w:lineRule="exact"/>
        <w:rPr>
          <w:rFonts w:ascii="宋体" w:hAnsi="宋体" w:cs="宋体"/>
          <w:sz w:val="28"/>
          <w:szCs w:val="28"/>
        </w:rPr>
      </w:pPr>
      <w:r>
        <w:rPr>
          <w:rFonts w:hint="eastAsia" w:ascii="宋体" w:hAnsi="宋体" w:cs="宋体"/>
          <w:sz w:val="28"/>
          <w:szCs w:val="28"/>
        </w:rPr>
        <w:t>项目概况</w:t>
      </w:r>
    </w:p>
    <w:p>
      <w:pPr>
        <w:spacing w:line="360" w:lineRule="auto"/>
        <w:ind w:firstLine="420" w:firstLineChars="200"/>
        <w:rPr>
          <w:rFonts w:ascii="宋体" w:hAnsi="宋体" w:eastAsia="宋体"/>
          <w:szCs w:val="21"/>
        </w:rPr>
      </w:pPr>
      <w:r>
        <w:rPr>
          <w:rFonts w:hint="eastAsia" w:ascii="宋体" w:hAnsi="宋体" w:eastAsia="宋体"/>
          <w:szCs w:val="21"/>
        </w:rPr>
        <w:t>近年来，浙江省肿瘤医院围绕“大专科，小综合”的发展方向，充分发挥肿瘤专科特色优势，推动优质医疗资源均衡布局和区域协同发展，致力打造成为国内标杆、国际知名、患者首选的研究型肿瘤中心。针对浙江省肿瘤医院及医联体各医疗机构的信息化建设状况，结合肿瘤专科的特色专长，利用信息技术，建立浙江省肿瘤医院国家癌症区域影像平台。平台主要功能涉及区域机构数据共享发送管理、提供相关医院跨院检查文档检索获取、影像共享调阅；区域会诊中心与下属各级医院之间疑难会诊业务；医疗机构的影像业务协同作业等功能。</w:t>
      </w:r>
    </w:p>
    <w:p>
      <w:pPr>
        <w:spacing w:line="360" w:lineRule="auto"/>
        <w:ind w:firstLine="420" w:firstLineChars="200"/>
        <w:rPr>
          <w:rFonts w:ascii="宋体" w:hAnsi="宋体" w:eastAsia="宋体"/>
          <w:szCs w:val="21"/>
        </w:rPr>
      </w:pPr>
      <w:r>
        <w:rPr>
          <w:rFonts w:hint="eastAsia" w:ascii="宋体" w:hAnsi="宋体" w:eastAsia="宋体"/>
          <w:szCs w:val="21"/>
        </w:rPr>
        <w:t>实现真正具有跨机构连续协作服务的能力，形成上下联动的整合型医疗服务中心；实现区域内影像设备和人才资源的全面共享，全面提高区域范围的影像诊断质量和服务水平；符合区域群众就医需求的诊疗模式，增强区域肿瘤防治综合能力，切实提升人民群众健康水平。</w:t>
      </w:r>
    </w:p>
    <w:p>
      <w:pPr>
        <w:pStyle w:val="3"/>
        <w:numPr>
          <w:ilvl w:val="0"/>
          <w:numId w:val="1"/>
        </w:numPr>
        <w:tabs>
          <w:tab w:val="left" w:pos="720"/>
          <w:tab w:val="left" w:pos="1980"/>
        </w:tabs>
        <w:spacing w:before="156" w:beforeLines="50" w:after="156" w:afterLines="50" w:line="440" w:lineRule="exact"/>
        <w:rPr>
          <w:rFonts w:ascii="宋体" w:hAnsi="宋体" w:cs="宋体"/>
          <w:sz w:val="28"/>
          <w:szCs w:val="28"/>
        </w:rPr>
      </w:pPr>
      <w:r>
        <w:rPr>
          <w:rFonts w:hint="eastAsia" w:ascii="宋体" w:hAnsi="宋体" w:cs="宋体"/>
          <w:sz w:val="28"/>
          <w:szCs w:val="28"/>
        </w:rPr>
        <w:t>采购内容一览表</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0"/>
        <w:gridCol w:w="3775"/>
        <w:gridCol w:w="1448"/>
        <w:gridCol w:w="20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1040" w:type="dxa"/>
            <w:vAlign w:val="center"/>
          </w:tcPr>
          <w:p>
            <w:pPr>
              <w:spacing w:line="360" w:lineRule="auto"/>
              <w:jc w:val="center"/>
              <w:rPr>
                <w:rFonts w:ascii="宋体" w:hAnsi="宋体" w:eastAsia="宋体"/>
                <w:szCs w:val="21"/>
              </w:rPr>
            </w:pPr>
            <w:r>
              <w:rPr>
                <w:rFonts w:hint="eastAsia" w:ascii="宋体" w:hAnsi="宋体" w:eastAsia="宋体"/>
                <w:szCs w:val="21"/>
              </w:rPr>
              <w:t>序号</w:t>
            </w:r>
          </w:p>
        </w:tc>
        <w:tc>
          <w:tcPr>
            <w:tcW w:w="3775" w:type="dxa"/>
            <w:vAlign w:val="center"/>
          </w:tcPr>
          <w:p>
            <w:pPr>
              <w:spacing w:line="360" w:lineRule="auto"/>
              <w:jc w:val="center"/>
              <w:rPr>
                <w:rFonts w:ascii="宋体" w:hAnsi="宋体" w:eastAsia="宋体"/>
                <w:szCs w:val="21"/>
              </w:rPr>
            </w:pPr>
            <w:r>
              <w:rPr>
                <w:rFonts w:hint="eastAsia" w:ascii="宋体" w:hAnsi="宋体" w:eastAsia="宋体"/>
                <w:szCs w:val="21"/>
              </w:rPr>
              <w:t>采购内容</w:t>
            </w:r>
          </w:p>
        </w:tc>
        <w:tc>
          <w:tcPr>
            <w:tcW w:w="1448" w:type="dxa"/>
            <w:vAlign w:val="center"/>
          </w:tcPr>
          <w:p>
            <w:pPr>
              <w:spacing w:line="360" w:lineRule="auto"/>
              <w:jc w:val="center"/>
              <w:rPr>
                <w:rFonts w:ascii="宋体" w:hAnsi="宋体" w:eastAsia="宋体"/>
                <w:szCs w:val="21"/>
              </w:rPr>
            </w:pPr>
            <w:r>
              <w:rPr>
                <w:rFonts w:hint="eastAsia" w:ascii="宋体" w:hAnsi="宋体" w:eastAsia="宋体"/>
                <w:szCs w:val="21"/>
              </w:rPr>
              <w:t>数量</w:t>
            </w:r>
          </w:p>
        </w:tc>
        <w:tc>
          <w:tcPr>
            <w:tcW w:w="2033" w:type="dxa"/>
          </w:tcPr>
          <w:p>
            <w:pPr>
              <w:spacing w:line="360" w:lineRule="auto"/>
              <w:jc w:val="center"/>
              <w:rPr>
                <w:rFonts w:ascii="宋体" w:hAnsi="宋体" w:eastAsia="宋体"/>
                <w:szCs w:val="21"/>
              </w:rPr>
            </w:pPr>
            <w:r>
              <w:rPr>
                <w:rFonts w:hint="eastAsia" w:ascii="宋体" w:hAnsi="宋体" w:eastAsia="宋体"/>
                <w:szCs w:val="21"/>
              </w:rPr>
              <w:t>项目预算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040" w:type="dxa"/>
            <w:vAlign w:val="center"/>
          </w:tcPr>
          <w:p>
            <w:pPr>
              <w:spacing w:line="360" w:lineRule="auto"/>
              <w:jc w:val="center"/>
              <w:rPr>
                <w:rFonts w:ascii="宋体" w:hAnsi="宋体" w:eastAsia="宋体"/>
                <w:szCs w:val="21"/>
              </w:rPr>
            </w:pPr>
            <w:r>
              <w:rPr>
                <w:rFonts w:hint="eastAsia" w:ascii="宋体" w:hAnsi="宋体" w:eastAsia="宋体"/>
                <w:szCs w:val="21"/>
              </w:rPr>
              <w:t>1</w:t>
            </w:r>
          </w:p>
        </w:tc>
        <w:tc>
          <w:tcPr>
            <w:tcW w:w="3775" w:type="dxa"/>
            <w:vAlign w:val="center"/>
          </w:tcPr>
          <w:p>
            <w:pPr>
              <w:spacing w:line="360" w:lineRule="auto"/>
              <w:jc w:val="center"/>
              <w:rPr>
                <w:rFonts w:ascii="宋体" w:hAnsi="宋体" w:eastAsia="宋体"/>
                <w:szCs w:val="21"/>
              </w:rPr>
            </w:pPr>
            <w:r>
              <w:rPr>
                <w:rFonts w:hint="eastAsia" w:ascii="宋体" w:hAnsi="宋体" w:eastAsia="宋体"/>
                <w:szCs w:val="21"/>
              </w:rPr>
              <w:t>国家癌症区域影像中心平台</w:t>
            </w:r>
          </w:p>
        </w:tc>
        <w:tc>
          <w:tcPr>
            <w:tcW w:w="1448" w:type="dxa"/>
            <w:vAlign w:val="center"/>
          </w:tcPr>
          <w:p>
            <w:pPr>
              <w:spacing w:line="360" w:lineRule="auto"/>
              <w:jc w:val="center"/>
              <w:rPr>
                <w:rFonts w:ascii="宋体" w:hAnsi="宋体" w:eastAsia="宋体"/>
                <w:szCs w:val="21"/>
              </w:rPr>
            </w:pPr>
            <w:r>
              <w:rPr>
                <w:rFonts w:hint="eastAsia" w:ascii="宋体" w:hAnsi="宋体" w:eastAsia="宋体"/>
                <w:szCs w:val="21"/>
              </w:rPr>
              <w:t>1项</w:t>
            </w:r>
          </w:p>
        </w:tc>
        <w:tc>
          <w:tcPr>
            <w:tcW w:w="2033" w:type="dxa"/>
          </w:tcPr>
          <w:p>
            <w:pPr>
              <w:spacing w:line="360" w:lineRule="auto"/>
              <w:jc w:val="center"/>
              <w:rPr>
                <w:rFonts w:ascii="宋体" w:hAnsi="宋体" w:eastAsia="宋体"/>
                <w:szCs w:val="21"/>
              </w:rPr>
            </w:pPr>
            <w:r>
              <w:rPr>
                <w:rFonts w:hint="eastAsia" w:ascii="宋体" w:hAnsi="宋体" w:eastAsia="宋体"/>
                <w:szCs w:val="21"/>
              </w:rPr>
              <w:t>5</w:t>
            </w:r>
            <w:r>
              <w:rPr>
                <w:rFonts w:ascii="宋体" w:hAnsi="宋体" w:eastAsia="宋体"/>
                <w:szCs w:val="21"/>
              </w:rPr>
              <w:t>5</w:t>
            </w:r>
            <w:r>
              <w:rPr>
                <w:rFonts w:hint="eastAsia" w:ascii="宋体" w:hAnsi="宋体" w:eastAsia="宋体"/>
                <w:szCs w:val="21"/>
              </w:rPr>
              <w:t>万元</w:t>
            </w:r>
          </w:p>
        </w:tc>
      </w:tr>
    </w:tbl>
    <w:p>
      <w:pPr>
        <w:pStyle w:val="3"/>
        <w:numPr>
          <w:ilvl w:val="0"/>
          <w:numId w:val="1"/>
        </w:numPr>
        <w:tabs>
          <w:tab w:val="left" w:pos="720"/>
          <w:tab w:val="left" w:pos="1980"/>
        </w:tabs>
        <w:spacing w:before="156" w:beforeLines="50" w:after="156" w:afterLines="50" w:line="440" w:lineRule="exact"/>
        <w:rPr>
          <w:rFonts w:ascii="宋体" w:hAnsi="宋体" w:cs="宋体"/>
          <w:sz w:val="28"/>
          <w:szCs w:val="28"/>
        </w:rPr>
      </w:pPr>
      <w:r>
        <w:rPr>
          <w:rFonts w:hint="eastAsia" w:ascii="宋体" w:hAnsi="宋体" w:cs="宋体"/>
          <w:sz w:val="28"/>
          <w:szCs w:val="28"/>
        </w:rPr>
        <w:t>项目详细技术要求</w:t>
      </w:r>
    </w:p>
    <w:tbl>
      <w:tblPr>
        <w:tblStyle w:val="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6"/>
        <w:gridCol w:w="1277"/>
        <w:gridCol w:w="64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vAlign w:val="center"/>
          </w:tcPr>
          <w:p>
            <w:pPr>
              <w:jc w:val="center"/>
              <w:rPr>
                <w:rFonts w:ascii="宋体" w:hAnsi="宋体" w:eastAsia="宋体"/>
                <w:szCs w:val="21"/>
              </w:rPr>
            </w:pPr>
            <w:r>
              <w:rPr>
                <w:rFonts w:hint="eastAsia" w:ascii="宋体" w:hAnsi="宋体" w:eastAsia="宋体"/>
                <w:szCs w:val="21"/>
              </w:rPr>
              <w:t>序号</w:t>
            </w:r>
          </w:p>
        </w:tc>
        <w:tc>
          <w:tcPr>
            <w:tcW w:w="749" w:type="pct"/>
            <w:vAlign w:val="center"/>
          </w:tcPr>
          <w:p>
            <w:pPr>
              <w:jc w:val="center"/>
              <w:rPr>
                <w:rFonts w:ascii="宋体" w:hAnsi="宋体" w:eastAsia="宋体"/>
                <w:szCs w:val="21"/>
              </w:rPr>
            </w:pPr>
            <w:r>
              <w:rPr>
                <w:rFonts w:hint="eastAsia" w:ascii="宋体" w:hAnsi="宋体" w:eastAsia="宋体"/>
                <w:szCs w:val="21"/>
              </w:rPr>
              <w:t>模块</w:t>
            </w:r>
          </w:p>
        </w:tc>
        <w:tc>
          <w:tcPr>
            <w:tcW w:w="3772" w:type="pct"/>
            <w:vAlign w:val="center"/>
          </w:tcPr>
          <w:p>
            <w:pPr>
              <w:jc w:val="center"/>
              <w:rPr>
                <w:rFonts w:ascii="宋体" w:hAnsi="宋体" w:eastAsia="宋体"/>
                <w:szCs w:val="21"/>
              </w:rPr>
            </w:pPr>
            <w:r>
              <w:rPr>
                <w:rFonts w:hint="eastAsia" w:ascii="宋体" w:hAnsi="宋体" w:eastAsia="宋体"/>
                <w:szCs w:val="21"/>
              </w:rPr>
              <w:t>主要技术要求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vAlign w:val="center"/>
          </w:tcPr>
          <w:p>
            <w:pPr>
              <w:numPr>
                <w:ilvl w:val="0"/>
                <w:numId w:val="2"/>
              </w:numPr>
              <w:spacing w:line="360" w:lineRule="auto"/>
              <w:jc w:val="center"/>
              <w:rPr>
                <w:rFonts w:ascii="宋体" w:hAnsi="宋体" w:eastAsia="宋体"/>
                <w:szCs w:val="21"/>
              </w:rPr>
            </w:pPr>
          </w:p>
        </w:tc>
        <w:tc>
          <w:tcPr>
            <w:tcW w:w="749" w:type="pct"/>
            <w:vMerge w:val="restart"/>
            <w:vAlign w:val="center"/>
          </w:tcPr>
          <w:p>
            <w:pPr>
              <w:jc w:val="center"/>
              <w:rPr>
                <w:rFonts w:ascii="宋体" w:hAnsi="宋体" w:eastAsia="宋体"/>
                <w:szCs w:val="21"/>
              </w:rPr>
            </w:pPr>
            <w:r>
              <w:rPr>
                <w:rFonts w:hint="eastAsia" w:ascii="宋体" w:hAnsi="宋体" w:eastAsia="宋体"/>
                <w:szCs w:val="21"/>
              </w:rPr>
              <w:t>总体要求</w:t>
            </w:r>
          </w:p>
        </w:tc>
        <w:tc>
          <w:tcPr>
            <w:tcW w:w="3772" w:type="pct"/>
            <w:vAlign w:val="center"/>
          </w:tcPr>
          <w:p>
            <w:pPr>
              <w:rPr>
                <w:rFonts w:ascii="宋体" w:hAnsi="宋体" w:eastAsia="宋体" w:cs="宋体"/>
                <w:kern w:val="0"/>
                <w:szCs w:val="21"/>
              </w:rPr>
            </w:pPr>
            <w:r>
              <w:rPr>
                <w:rFonts w:hint="eastAsia" w:ascii="宋体" w:hAnsi="宋体" w:eastAsia="宋体"/>
                <w:color w:val="000000" w:themeColor="text1"/>
                <w:szCs w:val="21"/>
                <w14:textFill>
                  <w14:solidFill>
                    <w14:schemeClr w14:val="tx1"/>
                  </w14:solidFill>
                </w14:textFill>
              </w:rPr>
              <w:t>★</w:t>
            </w:r>
            <w:r>
              <w:rPr>
                <w:rFonts w:hint="eastAsia" w:ascii="宋体" w:hAnsi="宋体" w:eastAsia="宋体" w:cs="宋体"/>
                <w:kern w:val="0"/>
                <w:szCs w:val="21"/>
              </w:rPr>
              <w:t>与浙江省肿瘤医院院内现有PACS系统无缝整合，涉及到的相关第三方接口费及后续接口维护费包含在投标总价当中；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vAlign w:val="center"/>
          </w:tcPr>
          <w:p>
            <w:pPr>
              <w:numPr>
                <w:ilvl w:val="0"/>
                <w:numId w:val="2"/>
              </w:numPr>
              <w:spacing w:line="360" w:lineRule="auto"/>
              <w:jc w:val="center"/>
              <w:rPr>
                <w:rFonts w:ascii="宋体" w:hAnsi="宋体" w:eastAsia="宋体"/>
                <w:szCs w:val="21"/>
              </w:rPr>
            </w:pPr>
          </w:p>
        </w:tc>
        <w:tc>
          <w:tcPr>
            <w:tcW w:w="749" w:type="pct"/>
            <w:vMerge w:val="continue"/>
            <w:vAlign w:val="center"/>
          </w:tcPr>
          <w:p>
            <w:pPr>
              <w:jc w:val="center"/>
              <w:rPr>
                <w:rFonts w:ascii="宋体" w:hAnsi="宋体" w:eastAsia="宋体"/>
                <w:szCs w:val="21"/>
              </w:rPr>
            </w:pPr>
          </w:p>
        </w:tc>
        <w:tc>
          <w:tcPr>
            <w:tcW w:w="3772" w:type="pct"/>
            <w:vAlign w:val="center"/>
          </w:tcPr>
          <w:p>
            <w:pPr>
              <w:rPr>
                <w:rFonts w:ascii="宋体" w:hAnsi="宋体" w:eastAsia="宋体"/>
                <w:szCs w:val="21"/>
              </w:rPr>
            </w:pPr>
            <w:r>
              <w:rPr>
                <w:rFonts w:hint="eastAsia" w:ascii="宋体" w:hAnsi="宋体" w:eastAsia="宋体" w:cs="宋体"/>
                <w:kern w:val="0"/>
                <w:szCs w:val="21"/>
              </w:rPr>
              <w:t>平台服务支持部署在局域网，也支持部署在云端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vAlign w:val="center"/>
          </w:tcPr>
          <w:p>
            <w:pPr>
              <w:numPr>
                <w:ilvl w:val="0"/>
                <w:numId w:val="2"/>
              </w:numPr>
              <w:spacing w:line="360" w:lineRule="auto"/>
              <w:jc w:val="center"/>
              <w:rPr>
                <w:rFonts w:ascii="宋体" w:hAnsi="宋体" w:eastAsia="宋体"/>
                <w:szCs w:val="21"/>
              </w:rPr>
            </w:pPr>
          </w:p>
        </w:tc>
        <w:tc>
          <w:tcPr>
            <w:tcW w:w="749" w:type="pct"/>
            <w:vMerge w:val="continue"/>
            <w:vAlign w:val="center"/>
          </w:tcPr>
          <w:p>
            <w:pPr>
              <w:jc w:val="center"/>
              <w:rPr>
                <w:rFonts w:ascii="宋体" w:hAnsi="宋体" w:eastAsia="宋体"/>
                <w:szCs w:val="21"/>
              </w:rPr>
            </w:pPr>
          </w:p>
        </w:tc>
        <w:tc>
          <w:tcPr>
            <w:tcW w:w="3772" w:type="pct"/>
            <w:vAlign w:val="center"/>
          </w:tcPr>
          <w:p>
            <w:pPr>
              <w:rPr>
                <w:rFonts w:ascii="宋体" w:hAnsi="宋体" w:eastAsia="宋体"/>
                <w:szCs w:val="21"/>
              </w:rPr>
            </w:pPr>
            <w:r>
              <w:rPr>
                <w:rFonts w:hint="eastAsia" w:ascii="宋体" w:hAnsi="宋体" w:eastAsia="宋体" w:cs="宋体"/>
                <w:kern w:val="0"/>
                <w:szCs w:val="21"/>
              </w:rPr>
              <w:t>支持内外网协作，支持复杂的网络结构，可跨内网、专网、广域网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vAlign w:val="center"/>
          </w:tcPr>
          <w:p>
            <w:pPr>
              <w:numPr>
                <w:ilvl w:val="0"/>
                <w:numId w:val="2"/>
              </w:numPr>
              <w:spacing w:line="360" w:lineRule="auto"/>
              <w:jc w:val="center"/>
              <w:rPr>
                <w:rFonts w:ascii="宋体" w:hAnsi="宋体" w:eastAsia="宋体"/>
                <w:szCs w:val="21"/>
              </w:rPr>
            </w:pPr>
          </w:p>
        </w:tc>
        <w:tc>
          <w:tcPr>
            <w:tcW w:w="749" w:type="pct"/>
            <w:vMerge w:val="continue"/>
            <w:vAlign w:val="center"/>
          </w:tcPr>
          <w:p>
            <w:pPr>
              <w:jc w:val="center"/>
              <w:rPr>
                <w:rFonts w:ascii="宋体" w:hAnsi="宋体" w:eastAsia="宋体"/>
                <w:szCs w:val="21"/>
              </w:rPr>
            </w:pPr>
          </w:p>
        </w:tc>
        <w:tc>
          <w:tcPr>
            <w:tcW w:w="3772" w:type="pct"/>
            <w:vAlign w:val="center"/>
          </w:tcPr>
          <w:p>
            <w:pPr>
              <w:rPr>
                <w:rFonts w:ascii="宋体" w:hAnsi="宋体" w:eastAsia="宋体"/>
                <w:szCs w:val="21"/>
              </w:rPr>
            </w:pPr>
            <w:r>
              <w:rPr>
                <w:rFonts w:hint="eastAsia" w:ascii="宋体" w:hAnsi="宋体" w:eastAsia="宋体" w:cs="宋体"/>
                <w:kern w:val="0"/>
                <w:szCs w:val="21"/>
              </w:rPr>
              <w:t>支持内网、外网隔离，满足区域医疗机构联网后数据安全要求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vAlign w:val="center"/>
          </w:tcPr>
          <w:p>
            <w:pPr>
              <w:numPr>
                <w:ilvl w:val="0"/>
                <w:numId w:val="2"/>
              </w:numPr>
              <w:spacing w:line="360" w:lineRule="auto"/>
              <w:jc w:val="center"/>
              <w:rPr>
                <w:rFonts w:ascii="宋体" w:hAnsi="宋体" w:eastAsia="宋体"/>
                <w:szCs w:val="21"/>
              </w:rPr>
            </w:pPr>
          </w:p>
        </w:tc>
        <w:tc>
          <w:tcPr>
            <w:tcW w:w="749" w:type="pct"/>
            <w:vMerge w:val="continue"/>
            <w:vAlign w:val="center"/>
          </w:tcPr>
          <w:p>
            <w:pPr>
              <w:jc w:val="center"/>
              <w:rPr>
                <w:rFonts w:ascii="宋体" w:hAnsi="宋体" w:eastAsia="宋体"/>
                <w:szCs w:val="21"/>
              </w:rPr>
            </w:pPr>
          </w:p>
        </w:tc>
        <w:tc>
          <w:tcPr>
            <w:tcW w:w="3772" w:type="pct"/>
            <w:vAlign w:val="center"/>
          </w:tcPr>
          <w:p>
            <w:pPr>
              <w:rPr>
                <w:rFonts w:ascii="宋体" w:hAnsi="宋体" w:eastAsia="宋体"/>
                <w:szCs w:val="21"/>
              </w:rPr>
            </w:pPr>
            <w:r>
              <w:rPr>
                <w:rFonts w:hint="eastAsia" w:ascii="宋体" w:hAnsi="宋体" w:eastAsia="宋体" w:cs="宋体"/>
                <w:kern w:val="0"/>
                <w:szCs w:val="21"/>
              </w:rPr>
              <w:t>数据的访问可以根据权限进行控制，权限的管理必须考虑到卫生主管部门、医院、医生、患者的不同需要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vAlign w:val="center"/>
          </w:tcPr>
          <w:p>
            <w:pPr>
              <w:numPr>
                <w:ilvl w:val="0"/>
                <w:numId w:val="2"/>
              </w:numPr>
              <w:spacing w:line="360" w:lineRule="auto"/>
              <w:jc w:val="center"/>
              <w:rPr>
                <w:rFonts w:ascii="宋体" w:hAnsi="宋体" w:eastAsia="宋体"/>
                <w:szCs w:val="21"/>
              </w:rPr>
            </w:pPr>
          </w:p>
        </w:tc>
        <w:tc>
          <w:tcPr>
            <w:tcW w:w="749" w:type="pct"/>
            <w:vMerge w:val="continue"/>
            <w:vAlign w:val="center"/>
          </w:tcPr>
          <w:p>
            <w:pPr>
              <w:jc w:val="center"/>
              <w:rPr>
                <w:rFonts w:ascii="宋体" w:hAnsi="宋体" w:eastAsia="宋体"/>
                <w:szCs w:val="21"/>
              </w:rPr>
            </w:pPr>
          </w:p>
        </w:tc>
        <w:tc>
          <w:tcPr>
            <w:tcW w:w="3772" w:type="pct"/>
            <w:vAlign w:val="center"/>
          </w:tcPr>
          <w:p>
            <w:pPr>
              <w:rPr>
                <w:rFonts w:ascii="宋体" w:hAnsi="宋体" w:eastAsia="宋体"/>
                <w:szCs w:val="21"/>
              </w:rPr>
            </w:pPr>
            <w:r>
              <w:rPr>
                <w:rFonts w:hint="eastAsia" w:ascii="宋体" w:hAnsi="宋体" w:eastAsia="宋体" w:cs="宋体"/>
                <w:kern w:val="0"/>
                <w:szCs w:val="21"/>
              </w:rPr>
              <w:t>支持院内缓存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vAlign w:val="center"/>
          </w:tcPr>
          <w:p>
            <w:pPr>
              <w:numPr>
                <w:ilvl w:val="0"/>
                <w:numId w:val="2"/>
              </w:numPr>
              <w:spacing w:line="360" w:lineRule="auto"/>
              <w:jc w:val="center"/>
              <w:rPr>
                <w:rFonts w:ascii="宋体" w:hAnsi="宋体" w:eastAsia="宋体"/>
                <w:szCs w:val="21"/>
              </w:rPr>
            </w:pPr>
          </w:p>
        </w:tc>
        <w:tc>
          <w:tcPr>
            <w:tcW w:w="749" w:type="pct"/>
            <w:vMerge w:val="restart"/>
            <w:vAlign w:val="center"/>
          </w:tcPr>
          <w:p>
            <w:pPr>
              <w:jc w:val="center"/>
              <w:rPr>
                <w:rFonts w:ascii="宋体" w:hAnsi="宋体" w:eastAsia="宋体"/>
                <w:szCs w:val="21"/>
              </w:rPr>
            </w:pPr>
            <w:r>
              <w:rPr>
                <w:rFonts w:hint="eastAsia" w:ascii="宋体" w:hAnsi="宋体" w:eastAsia="宋体"/>
                <w:szCs w:val="21"/>
              </w:rPr>
              <w:t>平台服务端</w:t>
            </w:r>
          </w:p>
        </w:tc>
        <w:tc>
          <w:tcPr>
            <w:tcW w:w="3772" w:type="pct"/>
            <w:vAlign w:val="center"/>
          </w:tcPr>
          <w:p>
            <w:pPr>
              <w:rPr>
                <w:rFonts w:ascii="宋体" w:hAnsi="宋体" w:eastAsia="宋体" w:cs="宋体"/>
                <w:kern w:val="0"/>
                <w:szCs w:val="21"/>
              </w:rPr>
            </w:pPr>
            <w:r>
              <w:rPr>
                <w:rFonts w:hint="eastAsia" w:ascii="宋体" w:hAnsi="宋体" w:eastAsia="宋体" w:cs="宋体"/>
                <w:kern w:val="0"/>
                <w:szCs w:val="21"/>
              </w:rPr>
              <w:t>管理接入医院、DICOM节点分配策略、任务、检查、报告、图像、查询、异常情况、日志及相关服务等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vAlign w:val="center"/>
          </w:tcPr>
          <w:p>
            <w:pPr>
              <w:numPr>
                <w:ilvl w:val="0"/>
                <w:numId w:val="2"/>
              </w:numPr>
              <w:spacing w:line="360" w:lineRule="auto"/>
              <w:jc w:val="center"/>
              <w:rPr>
                <w:rFonts w:ascii="宋体" w:hAnsi="宋体" w:eastAsia="宋体"/>
                <w:szCs w:val="21"/>
              </w:rPr>
            </w:pPr>
          </w:p>
        </w:tc>
        <w:tc>
          <w:tcPr>
            <w:tcW w:w="749" w:type="pct"/>
            <w:vMerge w:val="continue"/>
            <w:vAlign w:val="center"/>
          </w:tcPr>
          <w:p>
            <w:pPr>
              <w:jc w:val="center"/>
              <w:rPr>
                <w:rFonts w:ascii="宋体" w:hAnsi="宋体" w:eastAsia="宋体"/>
                <w:szCs w:val="21"/>
              </w:rPr>
            </w:pPr>
          </w:p>
        </w:tc>
        <w:tc>
          <w:tcPr>
            <w:tcW w:w="3772" w:type="pct"/>
            <w:vAlign w:val="center"/>
          </w:tcPr>
          <w:p>
            <w:pPr>
              <w:rPr>
                <w:rFonts w:ascii="宋体" w:hAnsi="宋体" w:eastAsia="宋体" w:cs="宋体"/>
                <w:kern w:val="0"/>
                <w:szCs w:val="21"/>
              </w:rPr>
            </w:pPr>
            <w:r>
              <w:rPr>
                <w:rFonts w:hint="eastAsia" w:ascii="宋体" w:hAnsi="宋体" w:eastAsia="宋体" w:cs="宋体"/>
                <w:kern w:val="0"/>
                <w:szCs w:val="21"/>
              </w:rPr>
              <w:t>用于配置管理平台的相关基础数据，包含接入平台医院、工作模式、任务管理等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vAlign w:val="center"/>
          </w:tcPr>
          <w:p>
            <w:pPr>
              <w:numPr>
                <w:ilvl w:val="0"/>
                <w:numId w:val="2"/>
              </w:numPr>
              <w:spacing w:line="360" w:lineRule="auto"/>
              <w:jc w:val="center"/>
              <w:rPr>
                <w:rFonts w:ascii="宋体" w:hAnsi="宋体" w:eastAsia="宋体"/>
                <w:szCs w:val="21"/>
              </w:rPr>
            </w:pPr>
          </w:p>
        </w:tc>
        <w:tc>
          <w:tcPr>
            <w:tcW w:w="749" w:type="pct"/>
            <w:vMerge w:val="continue"/>
            <w:vAlign w:val="center"/>
          </w:tcPr>
          <w:p>
            <w:pPr>
              <w:jc w:val="center"/>
              <w:rPr>
                <w:rFonts w:ascii="宋体" w:hAnsi="宋体" w:eastAsia="宋体"/>
                <w:szCs w:val="21"/>
              </w:rPr>
            </w:pPr>
          </w:p>
        </w:tc>
        <w:tc>
          <w:tcPr>
            <w:tcW w:w="3772" w:type="pct"/>
            <w:vAlign w:val="center"/>
          </w:tcPr>
          <w:p>
            <w:pPr>
              <w:rPr>
                <w:rFonts w:ascii="宋体" w:hAnsi="宋体" w:eastAsia="宋体" w:cs="宋体"/>
                <w:kern w:val="0"/>
                <w:szCs w:val="21"/>
              </w:rPr>
            </w:pPr>
            <w:r>
              <w:rPr>
                <w:rFonts w:hint="eastAsia" w:ascii="宋体" w:hAnsi="宋体" w:eastAsia="宋体" w:cs="宋体"/>
                <w:kern w:val="0"/>
                <w:szCs w:val="21"/>
              </w:rPr>
              <w:t>支持配置接入平台的医院名称、医院代码、院侧代理地址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vAlign w:val="center"/>
          </w:tcPr>
          <w:p>
            <w:pPr>
              <w:numPr>
                <w:ilvl w:val="0"/>
                <w:numId w:val="2"/>
              </w:numPr>
              <w:spacing w:line="360" w:lineRule="auto"/>
              <w:jc w:val="center"/>
              <w:rPr>
                <w:rFonts w:ascii="宋体" w:hAnsi="宋体" w:eastAsia="宋体"/>
                <w:szCs w:val="21"/>
              </w:rPr>
            </w:pPr>
          </w:p>
        </w:tc>
        <w:tc>
          <w:tcPr>
            <w:tcW w:w="749" w:type="pct"/>
            <w:vMerge w:val="continue"/>
            <w:vAlign w:val="center"/>
          </w:tcPr>
          <w:p>
            <w:pPr>
              <w:jc w:val="center"/>
              <w:rPr>
                <w:rFonts w:ascii="宋体" w:hAnsi="宋体" w:eastAsia="宋体"/>
                <w:szCs w:val="21"/>
              </w:rPr>
            </w:pPr>
          </w:p>
        </w:tc>
        <w:tc>
          <w:tcPr>
            <w:tcW w:w="3772" w:type="pct"/>
            <w:vAlign w:val="center"/>
          </w:tcPr>
          <w:p>
            <w:pPr>
              <w:rPr>
                <w:rFonts w:ascii="宋体" w:hAnsi="宋体" w:eastAsia="宋体" w:cs="宋体"/>
                <w:kern w:val="0"/>
                <w:szCs w:val="21"/>
              </w:rPr>
            </w:pPr>
            <w:r>
              <w:rPr>
                <w:rFonts w:hint="eastAsia" w:ascii="宋体" w:hAnsi="宋体" w:eastAsia="宋体" w:cs="宋体"/>
                <w:kern w:val="0"/>
                <w:szCs w:val="21"/>
              </w:rPr>
              <w:t>支持接入平台的每一个医院都有唯一标识码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vAlign w:val="center"/>
          </w:tcPr>
          <w:p>
            <w:pPr>
              <w:numPr>
                <w:ilvl w:val="0"/>
                <w:numId w:val="2"/>
              </w:numPr>
              <w:spacing w:line="360" w:lineRule="auto"/>
              <w:jc w:val="center"/>
              <w:rPr>
                <w:rFonts w:ascii="宋体" w:hAnsi="宋体" w:eastAsia="宋体"/>
                <w:szCs w:val="21"/>
              </w:rPr>
            </w:pPr>
          </w:p>
        </w:tc>
        <w:tc>
          <w:tcPr>
            <w:tcW w:w="749" w:type="pct"/>
            <w:vMerge w:val="continue"/>
            <w:vAlign w:val="center"/>
          </w:tcPr>
          <w:p>
            <w:pPr>
              <w:jc w:val="center"/>
              <w:rPr>
                <w:rFonts w:ascii="宋体" w:hAnsi="宋体" w:eastAsia="宋体"/>
                <w:szCs w:val="21"/>
              </w:rPr>
            </w:pPr>
          </w:p>
        </w:tc>
        <w:tc>
          <w:tcPr>
            <w:tcW w:w="3772" w:type="pct"/>
            <w:vAlign w:val="center"/>
          </w:tcPr>
          <w:p>
            <w:pPr>
              <w:rPr>
                <w:rFonts w:ascii="宋体" w:hAnsi="宋体" w:eastAsia="宋体" w:cs="宋体"/>
                <w:kern w:val="0"/>
                <w:szCs w:val="21"/>
              </w:rPr>
            </w:pPr>
            <w:r>
              <w:rPr>
                <w:rFonts w:hint="eastAsia" w:ascii="宋体" w:hAnsi="宋体" w:eastAsia="宋体" w:cs="宋体"/>
                <w:kern w:val="0"/>
                <w:szCs w:val="21"/>
              </w:rPr>
              <w:t>▲支持推送（Push）/查询（Pull）两种工作模式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vAlign w:val="center"/>
          </w:tcPr>
          <w:p>
            <w:pPr>
              <w:numPr>
                <w:ilvl w:val="0"/>
                <w:numId w:val="2"/>
              </w:numPr>
              <w:spacing w:line="360" w:lineRule="auto"/>
              <w:jc w:val="center"/>
              <w:rPr>
                <w:rFonts w:ascii="宋体" w:hAnsi="宋体" w:eastAsia="宋体"/>
                <w:szCs w:val="21"/>
              </w:rPr>
            </w:pPr>
          </w:p>
        </w:tc>
        <w:tc>
          <w:tcPr>
            <w:tcW w:w="749" w:type="pct"/>
            <w:vMerge w:val="continue"/>
            <w:vAlign w:val="center"/>
          </w:tcPr>
          <w:p>
            <w:pPr>
              <w:jc w:val="center"/>
              <w:rPr>
                <w:rFonts w:ascii="宋体" w:hAnsi="宋体" w:eastAsia="宋体"/>
                <w:szCs w:val="21"/>
              </w:rPr>
            </w:pPr>
          </w:p>
        </w:tc>
        <w:tc>
          <w:tcPr>
            <w:tcW w:w="3772" w:type="pct"/>
            <w:vAlign w:val="center"/>
          </w:tcPr>
          <w:p>
            <w:pPr>
              <w:rPr>
                <w:rFonts w:ascii="宋体" w:hAnsi="宋体" w:eastAsia="宋体" w:cs="宋体"/>
                <w:kern w:val="0"/>
                <w:szCs w:val="21"/>
              </w:rPr>
            </w:pPr>
            <w:r>
              <w:rPr>
                <w:rFonts w:hint="eastAsia" w:ascii="宋体" w:hAnsi="宋体" w:eastAsia="宋体" w:cs="宋体"/>
                <w:kern w:val="0"/>
                <w:szCs w:val="21"/>
              </w:rPr>
              <w:t>支持配置工作模式相关属性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vAlign w:val="center"/>
          </w:tcPr>
          <w:p>
            <w:pPr>
              <w:numPr>
                <w:ilvl w:val="0"/>
                <w:numId w:val="2"/>
              </w:numPr>
              <w:spacing w:line="360" w:lineRule="auto"/>
              <w:jc w:val="center"/>
              <w:rPr>
                <w:rFonts w:ascii="宋体" w:hAnsi="宋体" w:eastAsia="宋体"/>
                <w:szCs w:val="21"/>
              </w:rPr>
            </w:pPr>
          </w:p>
        </w:tc>
        <w:tc>
          <w:tcPr>
            <w:tcW w:w="749" w:type="pct"/>
            <w:vMerge w:val="continue"/>
            <w:vAlign w:val="center"/>
          </w:tcPr>
          <w:p>
            <w:pPr>
              <w:jc w:val="center"/>
              <w:rPr>
                <w:rFonts w:ascii="宋体" w:hAnsi="宋体" w:eastAsia="宋体"/>
                <w:szCs w:val="21"/>
              </w:rPr>
            </w:pPr>
          </w:p>
        </w:tc>
        <w:tc>
          <w:tcPr>
            <w:tcW w:w="3772" w:type="pct"/>
            <w:vAlign w:val="center"/>
          </w:tcPr>
          <w:p>
            <w:pPr>
              <w:rPr>
                <w:rFonts w:ascii="宋体" w:hAnsi="宋体" w:eastAsia="宋体" w:cs="宋体"/>
                <w:kern w:val="0"/>
                <w:szCs w:val="21"/>
              </w:rPr>
            </w:pPr>
            <w:r>
              <w:rPr>
                <w:rFonts w:hint="eastAsia" w:ascii="宋体" w:hAnsi="宋体" w:eastAsia="宋体" w:cs="宋体"/>
                <w:kern w:val="0"/>
                <w:szCs w:val="21"/>
              </w:rPr>
              <w:t>可设置每个医院类型：提交方、处理方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vAlign w:val="center"/>
          </w:tcPr>
          <w:p>
            <w:pPr>
              <w:numPr>
                <w:ilvl w:val="0"/>
                <w:numId w:val="2"/>
              </w:numPr>
              <w:spacing w:line="360" w:lineRule="auto"/>
              <w:jc w:val="center"/>
              <w:rPr>
                <w:rFonts w:ascii="宋体" w:hAnsi="宋体" w:eastAsia="宋体"/>
                <w:szCs w:val="21"/>
              </w:rPr>
            </w:pPr>
          </w:p>
        </w:tc>
        <w:tc>
          <w:tcPr>
            <w:tcW w:w="749" w:type="pct"/>
            <w:vMerge w:val="continue"/>
            <w:vAlign w:val="center"/>
          </w:tcPr>
          <w:p>
            <w:pPr>
              <w:jc w:val="center"/>
              <w:rPr>
                <w:rFonts w:ascii="宋体" w:hAnsi="宋体" w:eastAsia="宋体"/>
                <w:szCs w:val="21"/>
              </w:rPr>
            </w:pPr>
          </w:p>
        </w:tc>
        <w:tc>
          <w:tcPr>
            <w:tcW w:w="3772" w:type="pct"/>
            <w:vAlign w:val="center"/>
          </w:tcPr>
          <w:p>
            <w:pPr>
              <w:rPr>
                <w:rFonts w:ascii="宋体" w:hAnsi="宋体" w:eastAsia="宋体" w:cs="宋体"/>
                <w:kern w:val="0"/>
                <w:szCs w:val="21"/>
              </w:rPr>
            </w:pPr>
            <w:r>
              <w:rPr>
                <w:rFonts w:hint="eastAsia" w:ascii="宋体" w:hAnsi="宋体" w:eastAsia="宋体" w:cs="宋体"/>
                <w:kern w:val="0"/>
                <w:szCs w:val="21"/>
              </w:rPr>
              <w:t>▲可设置每个医院任务类型：区域书写、区域审核、区域会诊，且同一个医院可以同时支持多种任务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vAlign w:val="center"/>
          </w:tcPr>
          <w:p>
            <w:pPr>
              <w:numPr>
                <w:ilvl w:val="0"/>
                <w:numId w:val="2"/>
              </w:numPr>
              <w:spacing w:line="360" w:lineRule="auto"/>
              <w:jc w:val="center"/>
              <w:rPr>
                <w:rFonts w:ascii="宋体" w:hAnsi="宋体" w:eastAsia="宋体"/>
                <w:szCs w:val="21"/>
              </w:rPr>
            </w:pPr>
          </w:p>
        </w:tc>
        <w:tc>
          <w:tcPr>
            <w:tcW w:w="749" w:type="pct"/>
            <w:vMerge w:val="continue"/>
            <w:vAlign w:val="center"/>
          </w:tcPr>
          <w:p>
            <w:pPr>
              <w:jc w:val="center"/>
              <w:rPr>
                <w:rFonts w:ascii="宋体" w:hAnsi="宋体" w:eastAsia="宋体"/>
                <w:szCs w:val="21"/>
              </w:rPr>
            </w:pPr>
          </w:p>
        </w:tc>
        <w:tc>
          <w:tcPr>
            <w:tcW w:w="3772" w:type="pct"/>
            <w:vAlign w:val="center"/>
          </w:tcPr>
          <w:p>
            <w:pPr>
              <w:rPr>
                <w:rFonts w:ascii="宋体" w:hAnsi="宋体" w:eastAsia="宋体" w:cs="宋体"/>
                <w:kern w:val="0"/>
                <w:szCs w:val="21"/>
              </w:rPr>
            </w:pPr>
            <w:r>
              <w:rPr>
                <w:rFonts w:hint="eastAsia" w:ascii="宋体" w:hAnsi="宋体" w:eastAsia="宋体" w:cs="宋体"/>
                <w:kern w:val="0"/>
                <w:szCs w:val="21"/>
              </w:rPr>
              <w:t>▲可设置每个医院数据流动模式：推送或查询，且同一个医院可以同时支持多种模式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vAlign w:val="center"/>
          </w:tcPr>
          <w:p>
            <w:pPr>
              <w:numPr>
                <w:ilvl w:val="0"/>
                <w:numId w:val="2"/>
              </w:numPr>
              <w:spacing w:line="360" w:lineRule="auto"/>
              <w:jc w:val="center"/>
              <w:rPr>
                <w:rFonts w:ascii="宋体" w:hAnsi="宋体" w:eastAsia="宋体"/>
                <w:szCs w:val="21"/>
              </w:rPr>
            </w:pPr>
          </w:p>
        </w:tc>
        <w:tc>
          <w:tcPr>
            <w:tcW w:w="749" w:type="pct"/>
            <w:vMerge w:val="continue"/>
            <w:vAlign w:val="center"/>
          </w:tcPr>
          <w:p>
            <w:pPr>
              <w:jc w:val="center"/>
              <w:rPr>
                <w:rFonts w:ascii="宋体" w:hAnsi="宋体" w:eastAsia="宋体"/>
                <w:szCs w:val="21"/>
              </w:rPr>
            </w:pPr>
          </w:p>
        </w:tc>
        <w:tc>
          <w:tcPr>
            <w:tcW w:w="3772" w:type="pct"/>
            <w:vAlign w:val="center"/>
          </w:tcPr>
          <w:p>
            <w:pPr>
              <w:rPr>
                <w:rFonts w:ascii="宋体" w:hAnsi="宋体" w:eastAsia="宋体" w:cs="宋体"/>
                <w:kern w:val="0"/>
                <w:szCs w:val="21"/>
              </w:rPr>
            </w:pPr>
            <w:r>
              <w:rPr>
                <w:rFonts w:hint="eastAsia" w:ascii="宋体" w:hAnsi="宋体" w:eastAsia="宋体" w:cs="宋体"/>
                <w:kern w:val="0"/>
                <w:szCs w:val="21"/>
              </w:rPr>
              <w:t>支持设置处理方DICOM节点，包括：IP，Port，AE Title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vAlign w:val="center"/>
          </w:tcPr>
          <w:p>
            <w:pPr>
              <w:numPr>
                <w:ilvl w:val="0"/>
                <w:numId w:val="2"/>
              </w:numPr>
              <w:spacing w:line="360" w:lineRule="auto"/>
              <w:jc w:val="center"/>
              <w:rPr>
                <w:rFonts w:ascii="宋体" w:hAnsi="宋体" w:eastAsia="宋体"/>
                <w:szCs w:val="21"/>
              </w:rPr>
            </w:pPr>
          </w:p>
        </w:tc>
        <w:tc>
          <w:tcPr>
            <w:tcW w:w="749" w:type="pct"/>
            <w:vMerge w:val="continue"/>
            <w:vAlign w:val="center"/>
          </w:tcPr>
          <w:p>
            <w:pPr>
              <w:jc w:val="center"/>
              <w:rPr>
                <w:rFonts w:ascii="宋体" w:hAnsi="宋体" w:eastAsia="宋体"/>
                <w:szCs w:val="21"/>
              </w:rPr>
            </w:pPr>
          </w:p>
        </w:tc>
        <w:tc>
          <w:tcPr>
            <w:tcW w:w="3772" w:type="pct"/>
            <w:vAlign w:val="center"/>
          </w:tcPr>
          <w:p>
            <w:pPr>
              <w:rPr>
                <w:rFonts w:ascii="宋体" w:hAnsi="宋体" w:eastAsia="宋体" w:cs="宋体"/>
                <w:kern w:val="0"/>
                <w:szCs w:val="21"/>
              </w:rPr>
            </w:pPr>
            <w:r>
              <w:rPr>
                <w:rFonts w:hint="eastAsia" w:ascii="宋体" w:hAnsi="宋体" w:eastAsia="宋体" w:cs="宋体"/>
                <w:kern w:val="0"/>
                <w:szCs w:val="21"/>
              </w:rPr>
              <w:t>▲支持处理方接收任意提交方共享发送的数据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vAlign w:val="center"/>
          </w:tcPr>
          <w:p>
            <w:pPr>
              <w:numPr>
                <w:ilvl w:val="0"/>
                <w:numId w:val="2"/>
              </w:numPr>
              <w:spacing w:line="360" w:lineRule="auto"/>
              <w:jc w:val="center"/>
              <w:rPr>
                <w:rFonts w:ascii="宋体" w:hAnsi="宋体" w:eastAsia="宋体"/>
                <w:szCs w:val="21"/>
              </w:rPr>
            </w:pPr>
          </w:p>
        </w:tc>
        <w:tc>
          <w:tcPr>
            <w:tcW w:w="749" w:type="pct"/>
            <w:vMerge w:val="continue"/>
            <w:vAlign w:val="center"/>
          </w:tcPr>
          <w:p>
            <w:pPr>
              <w:jc w:val="center"/>
              <w:rPr>
                <w:rFonts w:ascii="宋体" w:hAnsi="宋体" w:eastAsia="宋体"/>
                <w:szCs w:val="21"/>
              </w:rPr>
            </w:pPr>
          </w:p>
        </w:tc>
        <w:tc>
          <w:tcPr>
            <w:tcW w:w="3772" w:type="pct"/>
            <w:vAlign w:val="center"/>
          </w:tcPr>
          <w:p>
            <w:pPr>
              <w:rPr>
                <w:rFonts w:ascii="宋体" w:hAnsi="宋体" w:eastAsia="宋体" w:cs="宋体"/>
                <w:kern w:val="0"/>
                <w:szCs w:val="21"/>
              </w:rPr>
            </w:pPr>
            <w:r>
              <w:rPr>
                <w:rFonts w:hint="eastAsia" w:ascii="宋体" w:hAnsi="宋体" w:eastAsia="宋体" w:cs="宋体"/>
                <w:kern w:val="0"/>
                <w:szCs w:val="21"/>
              </w:rPr>
              <w:t>▲支持处理方接收指定提交方共享发送的数据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vAlign w:val="center"/>
          </w:tcPr>
          <w:p>
            <w:pPr>
              <w:numPr>
                <w:ilvl w:val="0"/>
                <w:numId w:val="2"/>
              </w:numPr>
              <w:spacing w:line="360" w:lineRule="auto"/>
              <w:jc w:val="center"/>
              <w:rPr>
                <w:rFonts w:ascii="宋体" w:hAnsi="宋体" w:eastAsia="宋体"/>
                <w:szCs w:val="21"/>
              </w:rPr>
            </w:pPr>
          </w:p>
        </w:tc>
        <w:tc>
          <w:tcPr>
            <w:tcW w:w="749" w:type="pct"/>
            <w:vMerge w:val="continue"/>
            <w:vAlign w:val="center"/>
          </w:tcPr>
          <w:p>
            <w:pPr>
              <w:jc w:val="center"/>
              <w:rPr>
                <w:rFonts w:ascii="宋体" w:hAnsi="宋体" w:eastAsia="宋体"/>
                <w:szCs w:val="21"/>
              </w:rPr>
            </w:pPr>
          </w:p>
        </w:tc>
        <w:tc>
          <w:tcPr>
            <w:tcW w:w="3772" w:type="pct"/>
            <w:vAlign w:val="center"/>
          </w:tcPr>
          <w:p>
            <w:pPr>
              <w:rPr>
                <w:rFonts w:ascii="宋体" w:hAnsi="宋体" w:eastAsia="宋体" w:cs="宋体"/>
                <w:kern w:val="0"/>
                <w:szCs w:val="21"/>
              </w:rPr>
            </w:pPr>
            <w:r>
              <w:rPr>
                <w:rFonts w:hint="eastAsia" w:ascii="宋体" w:hAnsi="宋体" w:eastAsia="宋体" w:cs="宋体"/>
                <w:kern w:val="0"/>
                <w:szCs w:val="21"/>
              </w:rPr>
              <w:t>用于接收、注册共享图像数据至平台数据中心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vAlign w:val="center"/>
          </w:tcPr>
          <w:p>
            <w:pPr>
              <w:numPr>
                <w:ilvl w:val="0"/>
                <w:numId w:val="2"/>
              </w:numPr>
              <w:spacing w:line="360" w:lineRule="auto"/>
              <w:jc w:val="center"/>
              <w:rPr>
                <w:rFonts w:ascii="宋体" w:hAnsi="宋体" w:eastAsia="宋体"/>
                <w:szCs w:val="21"/>
              </w:rPr>
            </w:pPr>
          </w:p>
        </w:tc>
        <w:tc>
          <w:tcPr>
            <w:tcW w:w="749" w:type="pct"/>
            <w:vMerge w:val="continue"/>
            <w:vAlign w:val="center"/>
          </w:tcPr>
          <w:p>
            <w:pPr>
              <w:jc w:val="center"/>
              <w:rPr>
                <w:rFonts w:ascii="宋体" w:hAnsi="宋体" w:eastAsia="宋体"/>
                <w:szCs w:val="21"/>
              </w:rPr>
            </w:pPr>
          </w:p>
        </w:tc>
        <w:tc>
          <w:tcPr>
            <w:tcW w:w="3772" w:type="pct"/>
            <w:vAlign w:val="center"/>
          </w:tcPr>
          <w:p>
            <w:pPr>
              <w:rPr>
                <w:rFonts w:ascii="宋体" w:hAnsi="宋体" w:eastAsia="宋体" w:cs="宋体"/>
                <w:kern w:val="0"/>
                <w:szCs w:val="21"/>
              </w:rPr>
            </w:pPr>
            <w:r>
              <w:rPr>
                <w:rFonts w:hint="eastAsia" w:ascii="宋体" w:hAnsi="宋体" w:eastAsia="宋体" w:cs="宋体"/>
                <w:kern w:val="0"/>
                <w:szCs w:val="21"/>
              </w:rPr>
              <w:t>支持为每一个提交方共享数据设置单独的节点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vAlign w:val="center"/>
          </w:tcPr>
          <w:p>
            <w:pPr>
              <w:numPr>
                <w:ilvl w:val="0"/>
                <w:numId w:val="2"/>
              </w:numPr>
              <w:spacing w:line="360" w:lineRule="auto"/>
              <w:jc w:val="center"/>
              <w:rPr>
                <w:rFonts w:ascii="宋体" w:hAnsi="宋体" w:eastAsia="宋体"/>
                <w:szCs w:val="21"/>
              </w:rPr>
            </w:pPr>
          </w:p>
        </w:tc>
        <w:tc>
          <w:tcPr>
            <w:tcW w:w="749" w:type="pct"/>
            <w:vMerge w:val="continue"/>
            <w:vAlign w:val="center"/>
          </w:tcPr>
          <w:p>
            <w:pPr>
              <w:jc w:val="center"/>
              <w:rPr>
                <w:rFonts w:ascii="宋体" w:hAnsi="宋体" w:eastAsia="宋体"/>
                <w:szCs w:val="21"/>
              </w:rPr>
            </w:pPr>
          </w:p>
        </w:tc>
        <w:tc>
          <w:tcPr>
            <w:tcW w:w="3772" w:type="pct"/>
            <w:vAlign w:val="center"/>
          </w:tcPr>
          <w:p>
            <w:pPr>
              <w:rPr>
                <w:rFonts w:ascii="宋体" w:hAnsi="宋体" w:eastAsia="宋体" w:cs="宋体"/>
                <w:kern w:val="0"/>
                <w:szCs w:val="21"/>
              </w:rPr>
            </w:pPr>
            <w:r>
              <w:rPr>
                <w:rFonts w:hint="eastAsia" w:ascii="宋体" w:hAnsi="宋体" w:eastAsia="宋体" w:cs="宋体"/>
                <w:kern w:val="0"/>
                <w:szCs w:val="21"/>
              </w:rPr>
              <w:t>支持设置区域ID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vAlign w:val="center"/>
          </w:tcPr>
          <w:p>
            <w:pPr>
              <w:numPr>
                <w:ilvl w:val="0"/>
                <w:numId w:val="2"/>
              </w:numPr>
              <w:spacing w:line="360" w:lineRule="auto"/>
              <w:jc w:val="center"/>
              <w:rPr>
                <w:rFonts w:ascii="宋体" w:hAnsi="宋体" w:eastAsia="宋体"/>
                <w:szCs w:val="21"/>
              </w:rPr>
            </w:pPr>
          </w:p>
        </w:tc>
        <w:tc>
          <w:tcPr>
            <w:tcW w:w="749" w:type="pct"/>
            <w:vMerge w:val="continue"/>
            <w:vAlign w:val="center"/>
          </w:tcPr>
          <w:p>
            <w:pPr>
              <w:jc w:val="center"/>
              <w:rPr>
                <w:rFonts w:ascii="宋体" w:hAnsi="宋体" w:eastAsia="宋体"/>
                <w:szCs w:val="21"/>
              </w:rPr>
            </w:pPr>
          </w:p>
        </w:tc>
        <w:tc>
          <w:tcPr>
            <w:tcW w:w="3772" w:type="pct"/>
            <w:vAlign w:val="center"/>
          </w:tcPr>
          <w:p>
            <w:pPr>
              <w:rPr>
                <w:rFonts w:ascii="宋体" w:hAnsi="宋体" w:eastAsia="宋体" w:cs="宋体"/>
                <w:kern w:val="0"/>
                <w:szCs w:val="21"/>
              </w:rPr>
            </w:pPr>
            <w:r>
              <w:rPr>
                <w:rFonts w:hint="eastAsia" w:ascii="宋体" w:hAnsi="宋体" w:eastAsia="宋体" w:cs="宋体"/>
                <w:kern w:val="0"/>
                <w:szCs w:val="21"/>
              </w:rPr>
              <w:t>支持注册DICOM图像到数据库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vAlign w:val="center"/>
          </w:tcPr>
          <w:p>
            <w:pPr>
              <w:numPr>
                <w:ilvl w:val="0"/>
                <w:numId w:val="2"/>
              </w:numPr>
              <w:spacing w:line="360" w:lineRule="auto"/>
              <w:jc w:val="center"/>
              <w:rPr>
                <w:rFonts w:ascii="宋体" w:hAnsi="宋体" w:eastAsia="宋体"/>
                <w:szCs w:val="21"/>
              </w:rPr>
            </w:pPr>
          </w:p>
        </w:tc>
        <w:tc>
          <w:tcPr>
            <w:tcW w:w="749" w:type="pct"/>
            <w:vMerge w:val="continue"/>
            <w:vAlign w:val="center"/>
          </w:tcPr>
          <w:p>
            <w:pPr>
              <w:jc w:val="center"/>
              <w:rPr>
                <w:rFonts w:ascii="宋体" w:hAnsi="宋体" w:eastAsia="宋体"/>
                <w:szCs w:val="21"/>
              </w:rPr>
            </w:pPr>
          </w:p>
        </w:tc>
        <w:tc>
          <w:tcPr>
            <w:tcW w:w="3772" w:type="pct"/>
            <w:vAlign w:val="center"/>
          </w:tcPr>
          <w:p>
            <w:pPr>
              <w:rPr>
                <w:rFonts w:ascii="宋体" w:hAnsi="宋体" w:eastAsia="宋体" w:cs="宋体"/>
                <w:kern w:val="0"/>
                <w:szCs w:val="21"/>
              </w:rPr>
            </w:pPr>
            <w:r>
              <w:rPr>
                <w:rFonts w:hint="eastAsia" w:ascii="宋体" w:hAnsi="宋体" w:eastAsia="宋体" w:cs="宋体"/>
                <w:kern w:val="0"/>
                <w:szCs w:val="21"/>
              </w:rPr>
              <w:t>支持覆盖同名文件，保障数据的唯一性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vAlign w:val="center"/>
          </w:tcPr>
          <w:p>
            <w:pPr>
              <w:numPr>
                <w:ilvl w:val="0"/>
                <w:numId w:val="2"/>
              </w:numPr>
              <w:spacing w:line="360" w:lineRule="auto"/>
              <w:jc w:val="center"/>
              <w:rPr>
                <w:rFonts w:ascii="宋体" w:hAnsi="宋体" w:eastAsia="宋体"/>
                <w:szCs w:val="21"/>
              </w:rPr>
            </w:pPr>
          </w:p>
        </w:tc>
        <w:tc>
          <w:tcPr>
            <w:tcW w:w="749" w:type="pct"/>
            <w:vMerge w:val="continue"/>
            <w:vAlign w:val="center"/>
          </w:tcPr>
          <w:p>
            <w:pPr>
              <w:jc w:val="center"/>
              <w:rPr>
                <w:rFonts w:ascii="宋体" w:hAnsi="宋体" w:eastAsia="宋体"/>
                <w:szCs w:val="21"/>
              </w:rPr>
            </w:pPr>
          </w:p>
        </w:tc>
        <w:tc>
          <w:tcPr>
            <w:tcW w:w="3772" w:type="pct"/>
            <w:vAlign w:val="center"/>
          </w:tcPr>
          <w:p>
            <w:pPr>
              <w:rPr>
                <w:rFonts w:ascii="宋体" w:hAnsi="宋体" w:eastAsia="宋体" w:cs="宋体"/>
                <w:kern w:val="0"/>
                <w:szCs w:val="21"/>
              </w:rPr>
            </w:pPr>
            <w:r>
              <w:rPr>
                <w:rFonts w:hint="eastAsia" w:ascii="宋体" w:hAnsi="宋体" w:eastAsia="宋体" w:cs="宋体"/>
                <w:kern w:val="0"/>
                <w:szCs w:val="21"/>
              </w:rPr>
              <w:t>可配置注册失败重试次数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vAlign w:val="center"/>
          </w:tcPr>
          <w:p>
            <w:pPr>
              <w:numPr>
                <w:ilvl w:val="0"/>
                <w:numId w:val="2"/>
              </w:numPr>
              <w:spacing w:line="360" w:lineRule="auto"/>
              <w:jc w:val="center"/>
              <w:rPr>
                <w:rFonts w:ascii="宋体" w:hAnsi="宋体" w:eastAsia="宋体"/>
                <w:szCs w:val="21"/>
              </w:rPr>
            </w:pPr>
          </w:p>
        </w:tc>
        <w:tc>
          <w:tcPr>
            <w:tcW w:w="749" w:type="pct"/>
            <w:vMerge w:val="continue"/>
            <w:vAlign w:val="center"/>
          </w:tcPr>
          <w:p>
            <w:pPr>
              <w:jc w:val="center"/>
              <w:rPr>
                <w:rFonts w:ascii="宋体" w:hAnsi="宋体" w:eastAsia="宋体"/>
                <w:szCs w:val="21"/>
              </w:rPr>
            </w:pPr>
          </w:p>
        </w:tc>
        <w:tc>
          <w:tcPr>
            <w:tcW w:w="3772" w:type="pct"/>
            <w:vAlign w:val="center"/>
          </w:tcPr>
          <w:p>
            <w:pPr>
              <w:rPr>
                <w:rFonts w:ascii="宋体" w:hAnsi="宋体" w:eastAsia="宋体" w:cs="宋体"/>
                <w:kern w:val="0"/>
                <w:szCs w:val="21"/>
              </w:rPr>
            </w:pPr>
            <w:r>
              <w:rPr>
                <w:rFonts w:hint="eastAsia" w:ascii="宋体" w:hAnsi="宋体" w:eastAsia="宋体" w:cs="宋体"/>
                <w:color w:val="000000"/>
                <w:kern w:val="0"/>
                <w:szCs w:val="21"/>
              </w:rPr>
              <w:t>建立符合DICOM标准的WADO服务，以实现区域图像数据的调阅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vAlign w:val="center"/>
          </w:tcPr>
          <w:p>
            <w:pPr>
              <w:numPr>
                <w:ilvl w:val="0"/>
                <w:numId w:val="2"/>
              </w:numPr>
              <w:spacing w:line="360" w:lineRule="auto"/>
              <w:jc w:val="center"/>
              <w:rPr>
                <w:rFonts w:ascii="宋体" w:hAnsi="宋体" w:eastAsia="宋体"/>
                <w:szCs w:val="21"/>
              </w:rPr>
            </w:pPr>
          </w:p>
        </w:tc>
        <w:tc>
          <w:tcPr>
            <w:tcW w:w="749" w:type="pct"/>
            <w:vMerge w:val="continue"/>
            <w:vAlign w:val="center"/>
          </w:tcPr>
          <w:p>
            <w:pPr>
              <w:jc w:val="center"/>
              <w:rPr>
                <w:rFonts w:ascii="宋体" w:hAnsi="宋体" w:eastAsia="宋体"/>
                <w:szCs w:val="21"/>
              </w:rPr>
            </w:pPr>
          </w:p>
        </w:tc>
        <w:tc>
          <w:tcPr>
            <w:tcW w:w="3772" w:type="pct"/>
            <w:vAlign w:val="center"/>
          </w:tcPr>
          <w:p>
            <w:pPr>
              <w:rPr>
                <w:rFonts w:ascii="宋体" w:hAnsi="宋体" w:eastAsia="宋体" w:cs="宋体"/>
                <w:color w:val="000000"/>
                <w:kern w:val="0"/>
                <w:szCs w:val="21"/>
              </w:rPr>
            </w:pPr>
            <w:r>
              <w:rPr>
                <w:rFonts w:hint="eastAsia" w:ascii="宋体" w:hAnsi="宋体" w:eastAsia="宋体" w:cs="宋体"/>
                <w:color w:val="000000"/>
                <w:kern w:val="0"/>
                <w:szCs w:val="21"/>
              </w:rPr>
              <w:t>WADO影像访问服务软件支持提供标准的WADO（Web Access to DICOM Persistent Objects）访问服务。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vAlign w:val="center"/>
          </w:tcPr>
          <w:p>
            <w:pPr>
              <w:numPr>
                <w:ilvl w:val="0"/>
                <w:numId w:val="2"/>
              </w:numPr>
              <w:spacing w:line="360" w:lineRule="auto"/>
              <w:jc w:val="center"/>
              <w:rPr>
                <w:rFonts w:ascii="宋体" w:hAnsi="宋体" w:eastAsia="宋体"/>
                <w:szCs w:val="21"/>
              </w:rPr>
            </w:pPr>
          </w:p>
        </w:tc>
        <w:tc>
          <w:tcPr>
            <w:tcW w:w="749" w:type="pct"/>
            <w:vMerge w:val="continue"/>
            <w:vAlign w:val="center"/>
          </w:tcPr>
          <w:p>
            <w:pPr>
              <w:jc w:val="center"/>
              <w:rPr>
                <w:rFonts w:ascii="宋体" w:hAnsi="宋体" w:eastAsia="宋体"/>
                <w:szCs w:val="21"/>
              </w:rPr>
            </w:pPr>
          </w:p>
        </w:tc>
        <w:tc>
          <w:tcPr>
            <w:tcW w:w="3772" w:type="pct"/>
            <w:vAlign w:val="center"/>
          </w:tcPr>
          <w:p>
            <w:pPr>
              <w:rPr>
                <w:rFonts w:ascii="宋体" w:hAnsi="宋体" w:eastAsia="宋体" w:cs="宋体"/>
                <w:color w:val="000000"/>
                <w:kern w:val="0"/>
                <w:szCs w:val="21"/>
              </w:rPr>
            </w:pPr>
            <w:r>
              <w:rPr>
                <w:rFonts w:hint="eastAsia" w:ascii="宋体" w:hAnsi="宋体" w:eastAsia="宋体" w:cs="宋体"/>
                <w:kern w:val="0"/>
                <w:szCs w:val="21"/>
              </w:rPr>
              <w:t>提供DICOM通信服务接口的PACS系统进行图像注册发布、查询提取的通信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vAlign w:val="center"/>
          </w:tcPr>
          <w:p>
            <w:pPr>
              <w:numPr>
                <w:ilvl w:val="0"/>
                <w:numId w:val="2"/>
              </w:numPr>
              <w:spacing w:line="360" w:lineRule="auto"/>
              <w:jc w:val="center"/>
              <w:rPr>
                <w:rFonts w:ascii="宋体" w:hAnsi="宋体" w:eastAsia="宋体"/>
                <w:szCs w:val="21"/>
              </w:rPr>
            </w:pPr>
          </w:p>
        </w:tc>
        <w:tc>
          <w:tcPr>
            <w:tcW w:w="749" w:type="pct"/>
            <w:vMerge w:val="continue"/>
            <w:vAlign w:val="center"/>
          </w:tcPr>
          <w:p>
            <w:pPr>
              <w:jc w:val="center"/>
              <w:rPr>
                <w:rFonts w:ascii="宋体" w:hAnsi="宋体" w:eastAsia="宋体"/>
                <w:szCs w:val="21"/>
              </w:rPr>
            </w:pPr>
          </w:p>
        </w:tc>
        <w:tc>
          <w:tcPr>
            <w:tcW w:w="3772" w:type="pct"/>
            <w:vAlign w:val="center"/>
          </w:tcPr>
          <w:p>
            <w:pPr>
              <w:rPr>
                <w:rFonts w:ascii="宋体" w:hAnsi="宋体" w:eastAsia="宋体" w:cs="宋体"/>
                <w:kern w:val="0"/>
                <w:szCs w:val="21"/>
              </w:rPr>
            </w:pPr>
            <w:r>
              <w:rPr>
                <w:rFonts w:hint="eastAsia" w:ascii="宋体" w:hAnsi="宋体" w:eastAsia="宋体" w:cs="宋体"/>
                <w:color w:val="000000"/>
                <w:kern w:val="0"/>
                <w:szCs w:val="21"/>
              </w:rPr>
              <w:t>支持DICOM影像提供、影像请求转发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vAlign w:val="center"/>
          </w:tcPr>
          <w:p>
            <w:pPr>
              <w:numPr>
                <w:ilvl w:val="0"/>
                <w:numId w:val="2"/>
              </w:numPr>
              <w:spacing w:line="360" w:lineRule="auto"/>
              <w:jc w:val="center"/>
              <w:rPr>
                <w:rFonts w:ascii="宋体" w:hAnsi="宋体" w:eastAsia="宋体"/>
                <w:szCs w:val="21"/>
              </w:rPr>
            </w:pPr>
          </w:p>
        </w:tc>
        <w:tc>
          <w:tcPr>
            <w:tcW w:w="749" w:type="pct"/>
            <w:vMerge w:val="continue"/>
            <w:vAlign w:val="center"/>
          </w:tcPr>
          <w:p>
            <w:pPr>
              <w:jc w:val="center"/>
              <w:rPr>
                <w:rFonts w:ascii="宋体" w:hAnsi="宋体" w:eastAsia="宋体"/>
                <w:szCs w:val="21"/>
              </w:rPr>
            </w:pPr>
          </w:p>
        </w:tc>
        <w:tc>
          <w:tcPr>
            <w:tcW w:w="3772" w:type="pct"/>
            <w:vAlign w:val="center"/>
          </w:tcPr>
          <w:p>
            <w:pPr>
              <w:rPr>
                <w:rFonts w:ascii="宋体" w:hAnsi="宋体" w:eastAsia="宋体" w:cs="宋体"/>
                <w:color w:val="000000"/>
                <w:kern w:val="0"/>
                <w:szCs w:val="21"/>
              </w:rPr>
            </w:pPr>
            <w:r>
              <w:rPr>
                <w:rFonts w:hint="eastAsia" w:ascii="宋体" w:hAnsi="宋体" w:eastAsia="宋体" w:cs="宋体"/>
                <w:color w:val="000000"/>
                <w:kern w:val="0"/>
                <w:szCs w:val="21"/>
              </w:rPr>
              <w:t>支持影像文档使用者向影像文件源发起一个消息请求，获取特定的DICOM影像实例，影像文件源收到请求后，生成与请求相应的内容并向影像文档使用者发送一个消息回复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vAlign w:val="center"/>
          </w:tcPr>
          <w:p>
            <w:pPr>
              <w:numPr>
                <w:ilvl w:val="0"/>
                <w:numId w:val="2"/>
              </w:numPr>
              <w:spacing w:line="360" w:lineRule="auto"/>
              <w:jc w:val="center"/>
              <w:rPr>
                <w:rFonts w:ascii="宋体" w:hAnsi="宋体" w:eastAsia="宋体"/>
                <w:szCs w:val="21"/>
              </w:rPr>
            </w:pPr>
          </w:p>
        </w:tc>
        <w:tc>
          <w:tcPr>
            <w:tcW w:w="749" w:type="pct"/>
            <w:vMerge w:val="continue"/>
            <w:vAlign w:val="center"/>
          </w:tcPr>
          <w:p>
            <w:pPr>
              <w:jc w:val="center"/>
              <w:rPr>
                <w:rFonts w:ascii="宋体" w:hAnsi="宋体" w:eastAsia="宋体"/>
                <w:szCs w:val="21"/>
              </w:rPr>
            </w:pPr>
          </w:p>
        </w:tc>
        <w:tc>
          <w:tcPr>
            <w:tcW w:w="3772" w:type="pct"/>
            <w:vAlign w:val="center"/>
          </w:tcPr>
          <w:p>
            <w:pPr>
              <w:rPr>
                <w:rFonts w:ascii="宋体" w:hAnsi="宋体" w:eastAsia="宋体" w:cs="宋体"/>
                <w:color w:val="000000"/>
                <w:kern w:val="0"/>
                <w:szCs w:val="21"/>
              </w:rPr>
            </w:pPr>
            <w:r>
              <w:rPr>
                <w:rFonts w:hint="eastAsia" w:ascii="宋体" w:hAnsi="宋体" w:eastAsia="宋体" w:cs="宋体"/>
                <w:kern w:val="0"/>
                <w:szCs w:val="21"/>
              </w:rPr>
              <w:t>对平台运行状况实控，对系统故障、报错等信息记录并保存，便于后期追溯管理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vAlign w:val="center"/>
          </w:tcPr>
          <w:p>
            <w:pPr>
              <w:numPr>
                <w:ilvl w:val="0"/>
                <w:numId w:val="2"/>
              </w:numPr>
              <w:spacing w:line="360" w:lineRule="auto"/>
              <w:jc w:val="center"/>
              <w:rPr>
                <w:rFonts w:ascii="宋体" w:hAnsi="宋体" w:eastAsia="宋体"/>
                <w:szCs w:val="21"/>
              </w:rPr>
            </w:pPr>
          </w:p>
        </w:tc>
        <w:tc>
          <w:tcPr>
            <w:tcW w:w="749" w:type="pct"/>
            <w:vMerge w:val="continue"/>
            <w:vAlign w:val="center"/>
          </w:tcPr>
          <w:p>
            <w:pPr>
              <w:jc w:val="center"/>
              <w:rPr>
                <w:rFonts w:ascii="宋体" w:hAnsi="宋体" w:eastAsia="宋体"/>
                <w:szCs w:val="21"/>
              </w:rPr>
            </w:pPr>
          </w:p>
        </w:tc>
        <w:tc>
          <w:tcPr>
            <w:tcW w:w="3772" w:type="pct"/>
            <w:vAlign w:val="center"/>
          </w:tcPr>
          <w:p>
            <w:pPr>
              <w:rPr>
                <w:rFonts w:ascii="宋体" w:hAnsi="宋体" w:eastAsia="宋体" w:cs="宋体"/>
                <w:kern w:val="0"/>
                <w:szCs w:val="21"/>
              </w:rPr>
            </w:pPr>
            <w:r>
              <w:rPr>
                <w:rFonts w:hint="eastAsia" w:ascii="宋体" w:hAnsi="宋体" w:eastAsia="宋体" w:cs="宋体"/>
                <w:kern w:val="0"/>
                <w:szCs w:val="21"/>
              </w:rPr>
              <w:t>提供日志跟踪、系统监控、报警管理、业务监控、文档质控、数据挖掘、互阅审计、业务监管服务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vAlign w:val="center"/>
          </w:tcPr>
          <w:p>
            <w:pPr>
              <w:numPr>
                <w:ilvl w:val="0"/>
                <w:numId w:val="2"/>
              </w:numPr>
              <w:spacing w:line="360" w:lineRule="auto"/>
              <w:jc w:val="center"/>
              <w:rPr>
                <w:rFonts w:ascii="宋体" w:hAnsi="宋体" w:eastAsia="宋体"/>
                <w:szCs w:val="21"/>
              </w:rPr>
            </w:pPr>
          </w:p>
        </w:tc>
        <w:tc>
          <w:tcPr>
            <w:tcW w:w="749" w:type="pct"/>
            <w:vMerge w:val="continue"/>
            <w:vAlign w:val="center"/>
          </w:tcPr>
          <w:p>
            <w:pPr>
              <w:jc w:val="center"/>
              <w:rPr>
                <w:rFonts w:ascii="宋体" w:hAnsi="宋体" w:eastAsia="宋体"/>
                <w:szCs w:val="21"/>
              </w:rPr>
            </w:pPr>
          </w:p>
        </w:tc>
        <w:tc>
          <w:tcPr>
            <w:tcW w:w="3772" w:type="pct"/>
            <w:vAlign w:val="center"/>
          </w:tcPr>
          <w:p>
            <w:pPr>
              <w:rPr>
                <w:rFonts w:ascii="宋体" w:hAnsi="宋体" w:eastAsia="宋体" w:cs="宋体"/>
                <w:kern w:val="0"/>
                <w:szCs w:val="21"/>
              </w:rPr>
            </w:pPr>
            <w:r>
              <w:rPr>
                <w:rFonts w:hint="eastAsia" w:ascii="宋体" w:hAnsi="宋体" w:eastAsia="宋体" w:cs="宋体"/>
                <w:kern w:val="0"/>
                <w:szCs w:val="21"/>
              </w:rPr>
              <w:t>具备高性能处理能力，尤其对于XML数据的校验和解析、XSLT解析、非XML报文的处理、路由和过滤、数据库操作、Web Services调用等都要满足高性能要求，提供动态的缓存机制，保证数据能够在内存中快速的处理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vAlign w:val="center"/>
          </w:tcPr>
          <w:p>
            <w:pPr>
              <w:numPr>
                <w:ilvl w:val="0"/>
                <w:numId w:val="2"/>
              </w:numPr>
              <w:spacing w:line="360" w:lineRule="auto"/>
              <w:jc w:val="center"/>
              <w:rPr>
                <w:rFonts w:ascii="宋体" w:hAnsi="宋体" w:eastAsia="宋体"/>
                <w:szCs w:val="21"/>
              </w:rPr>
            </w:pPr>
          </w:p>
        </w:tc>
        <w:tc>
          <w:tcPr>
            <w:tcW w:w="749" w:type="pct"/>
            <w:vMerge w:val="continue"/>
            <w:vAlign w:val="center"/>
          </w:tcPr>
          <w:p>
            <w:pPr>
              <w:jc w:val="center"/>
              <w:rPr>
                <w:rFonts w:ascii="宋体" w:hAnsi="宋体" w:eastAsia="宋体"/>
                <w:szCs w:val="21"/>
              </w:rPr>
            </w:pPr>
          </w:p>
        </w:tc>
        <w:tc>
          <w:tcPr>
            <w:tcW w:w="3772" w:type="pct"/>
            <w:vAlign w:val="center"/>
          </w:tcPr>
          <w:p>
            <w:pPr>
              <w:rPr>
                <w:rFonts w:ascii="宋体" w:hAnsi="宋体" w:eastAsia="宋体" w:cs="宋体"/>
                <w:kern w:val="0"/>
                <w:szCs w:val="21"/>
              </w:rPr>
            </w:pPr>
            <w:r>
              <w:rPr>
                <w:rFonts w:hint="eastAsia" w:ascii="宋体" w:hAnsi="宋体" w:eastAsia="宋体" w:cs="宋体"/>
                <w:kern w:val="0"/>
                <w:szCs w:val="21"/>
              </w:rPr>
              <w:t>提供高可用性，保证平台7*24小时的运行；提供高稳定性，保证在数据量或应用连接数高峰运行时的系统运行正常，保障持久化的系统运行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vAlign w:val="center"/>
          </w:tcPr>
          <w:p>
            <w:pPr>
              <w:numPr>
                <w:ilvl w:val="0"/>
                <w:numId w:val="2"/>
              </w:numPr>
              <w:spacing w:line="360" w:lineRule="auto"/>
              <w:jc w:val="center"/>
              <w:rPr>
                <w:rFonts w:ascii="宋体" w:hAnsi="宋体" w:eastAsia="宋体"/>
                <w:szCs w:val="21"/>
              </w:rPr>
            </w:pPr>
          </w:p>
        </w:tc>
        <w:tc>
          <w:tcPr>
            <w:tcW w:w="749" w:type="pct"/>
            <w:vMerge w:val="continue"/>
            <w:vAlign w:val="center"/>
          </w:tcPr>
          <w:p>
            <w:pPr>
              <w:jc w:val="center"/>
              <w:rPr>
                <w:rFonts w:ascii="宋体" w:hAnsi="宋体" w:eastAsia="宋体"/>
                <w:szCs w:val="21"/>
              </w:rPr>
            </w:pPr>
          </w:p>
        </w:tc>
        <w:tc>
          <w:tcPr>
            <w:tcW w:w="3772" w:type="pct"/>
            <w:vAlign w:val="center"/>
          </w:tcPr>
          <w:p>
            <w:pPr>
              <w:rPr>
                <w:rFonts w:ascii="宋体" w:hAnsi="宋体" w:eastAsia="宋体" w:cs="宋体"/>
                <w:kern w:val="0"/>
                <w:szCs w:val="21"/>
              </w:rPr>
            </w:pPr>
            <w:r>
              <w:rPr>
                <w:rFonts w:hint="eastAsia" w:ascii="宋体" w:hAnsi="宋体" w:eastAsia="宋体" w:cs="宋体"/>
                <w:kern w:val="0"/>
                <w:szCs w:val="21"/>
              </w:rPr>
              <w:t>支持系统内置自我监控和修复模块，能24小时监测系统使用状况，出现问题时能实时报警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vAlign w:val="center"/>
          </w:tcPr>
          <w:p>
            <w:pPr>
              <w:numPr>
                <w:ilvl w:val="0"/>
                <w:numId w:val="2"/>
              </w:numPr>
              <w:spacing w:line="360" w:lineRule="auto"/>
              <w:jc w:val="center"/>
              <w:rPr>
                <w:rFonts w:ascii="宋体" w:hAnsi="宋体" w:eastAsia="宋体"/>
                <w:szCs w:val="21"/>
              </w:rPr>
            </w:pPr>
          </w:p>
        </w:tc>
        <w:tc>
          <w:tcPr>
            <w:tcW w:w="749" w:type="pct"/>
            <w:vMerge w:val="continue"/>
            <w:vAlign w:val="center"/>
          </w:tcPr>
          <w:p>
            <w:pPr>
              <w:jc w:val="center"/>
              <w:rPr>
                <w:rFonts w:ascii="宋体" w:hAnsi="宋体" w:eastAsia="宋体"/>
                <w:szCs w:val="21"/>
              </w:rPr>
            </w:pPr>
          </w:p>
        </w:tc>
        <w:tc>
          <w:tcPr>
            <w:tcW w:w="3772" w:type="pct"/>
            <w:vAlign w:val="center"/>
          </w:tcPr>
          <w:p>
            <w:pPr>
              <w:rPr>
                <w:rFonts w:ascii="宋体" w:hAnsi="宋体" w:eastAsia="宋体" w:cs="宋体"/>
                <w:kern w:val="0"/>
                <w:szCs w:val="21"/>
              </w:rPr>
            </w:pPr>
            <w:r>
              <w:rPr>
                <w:rFonts w:hint="eastAsia" w:ascii="宋体" w:hAnsi="宋体" w:eastAsia="宋体" w:cs="宋体"/>
                <w:kern w:val="0"/>
                <w:szCs w:val="21"/>
              </w:rPr>
              <w:t>提供角色定义及管理功能，可依照不同的角色权限来设定所属的安全机制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vAlign w:val="center"/>
          </w:tcPr>
          <w:p>
            <w:pPr>
              <w:numPr>
                <w:ilvl w:val="0"/>
                <w:numId w:val="2"/>
              </w:numPr>
              <w:spacing w:line="360" w:lineRule="auto"/>
              <w:jc w:val="center"/>
              <w:rPr>
                <w:rFonts w:ascii="宋体" w:hAnsi="宋体" w:eastAsia="宋体"/>
                <w:szCs w:val="21"/>
              </w:rPr>
            </w:pPr>
          </w:p>
        </w:tc>
        <w:tc>
          <w:tcPr>
            <w:tcW w:w="749" w:type="pct"/>
            <w:vMerge w:val="continue"/>
            <w:vAlign w:val="center"/>
          </w:tcPr>
          <w:p>
            <w:pPr>
              <w:jc w:val="center"/>
              <w:rPr>
                <w:rFonts w:ascii="宋体" w:hAnsi="宋体" w:eastAsia="宋体"/>
                <w:szCs w:val="21"/>
              </w:rPr>
            </w:pPr>
          </w:p>
        </w:tc>
        <w:tc>
          <w:tcPr>
            <w:tcW w:w="3772" w:type="pct"/>
            <w:vAlign w:val="center"/>
          </w:tcPr>
          <w:p>
            <w:pPr>
              <w:rPr>
                <w:rFonts w:ascii="宋体" w:hAnsi="宋体" w:eastAsia="宋体" w:cs="宋体"/>
                <w:kern w:val="0"/>
                <w:szCs w:val="21"/>
              </w:rPr>
            </w:pPr>
            <w:r>
              <w:rPr>
                <w:rFonts w:hint="eastAsia" w:ascii="宋体" w:hAnsi="宋体" w:eastAsia="宋体" w:cs="宋体"/>
                <w:kern w:val="0"/>
                <w:szCs w:val="21"/>
              </w:rPr>
              <w:t>▲通过多数据源技术，支持院内数据与区域数据物理隔离，避免不同类型数据的相互影响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vAlign w:val="center"/>
          </w:tcPr>
          <w:p>
            <w:pPr>
              <w:numPr>
                <w:ilvl w:val="0"/>
                <w:numId w:val="2"/>
              </w:numPr>
              <w:spacing w:line="360" w:lineRule="auto"/>
              <w:jc w:val="center"/>
              <w:rPr>
                <w:rFonts w:ascii="宋体" w:hAnsi="宋体" w:eastAsia="宋体"/>
                <w:szCs w:val="21"/>
              </w:rPr>
            </w:pPr>
          </w:p>
        </w:tc>
        <w:tc>
          <w:tcPr>
            <w:tcW w:w="749" w:type="pct"/>
            <w:vMerge w:val="continue"/>
            <w:vAlign w:val="center"/>
          </w:tcPr>
          <w:p>
            <w:pPr>
              <w:jc w:val="center"/>
              <w:rPr>
                <w:rFonts w:ascii="宋体" w:hAnsi="宋体" w:eastAsia="宋体"/>
                <w:szCs w:val="21"/>
              </w:rPr>
            </w:pPr>
          </w:p>
        </w:tc>
        <w:tc>
          <w:tcPr>
            <w:tcW w:w="3772" w:type="pct"/>
            <w:vAlign w:val="center"/>
          </w:tcPr>
          <w:p>
            <w:pPr>
              <w:rPr>
                <w:rFonts w:ascii="宋体" w:hAnsi="宋体" w:eastAsia="宋体" w:cs="宋体"/>
                <w:kern w:val="0"/>
                <w:szCs w:val="21"/>
              </w:rPr>
            </w:pPr>
            <w:r>
              <w:rPr>
                <w:rFonts w:hint="eastAsia" w:ascii="宋体" w:hAnsi="宋体" w:eastAsia="宋体" w:cs="宋体"/>
                <w:kern w:val="0"/>
                <w:szCs w:val="21"/>
              </w:rPr>
              <w:t>提供影像数据的各种状态记录日志（影像存档、影像调阅、影像传输等）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vAlign w:val="center"/>
          </w:tcPr>
          <w:p>
            <w:pPr>
              <w:numPr>
                <w:ilvl w:val="0"/>
                <w:numId w:val="2"/>
              </w:numPr>
              <w:spacing w:line="360" w:lineRule="auto"/>
              <w:jc w:val="center"/>
              <w:rPr>
                <w:rFonts w:ascii="宋体" w:hAnsi="宋体" w:eastAsia="宋体"/>
                <w:szCs w:val="21"/>
              </w:rPr>
            </w:pPr>
          </w:p>
        </w:tc>
        <w:tc>
          <w:tcPr>
            <w:tcW w:w="749" w:type="pct"/>
            <w:vMerge w:val="continue"/>
            <w:vAlign w:val="center"/>
          </w:tcPr>
          <w:p>
            <w:pPr>
              <w:jc w:val="center"/>
              <w:rPr>
                <w:rFonts w:ascii="宋体" w:hAnsi="宋体" w:eastAsia="宋体"/>
                <w:szCs w:val="21"/>
              </w:rPr>
            </w:pPr>
          </w:p>
        </w:tc>
        <w:tc>
          <w:tcPr>
            <w:tcW w:w="3772" w:type="pct"/>
            <w:vAlign w:val="center"/>
          </w:tcPr>
          <w:p>
            <w:pPr>
              <w:rPr>
                <w:rFonts w:ascii="宋体" w:hAnsi="宋体" w:eastAsia="宋体" w:cs="宋体"/>
                <w:kern w:val="0"/>
                <w:szCs w:val="21"/>
              </w:rPr>
            </w:pPr>
            <w:r>
              <w:rPr>
                <w:rFonts w:hint="eastAsia" w:ascii="宋体" w:hAnsi="宋体" w:eastAsia="宋体" w:cs="宋体"/>
                <w:kern w:val="0"/>
                <w:szCs w:val="21"/>
              </w:rPr>
              <w:t>提供统一标准的第三方接口，支持实现区域各医疗机构PACS系统接入平台</w:t>
            </w:r>
            <w:r>
              <w:rPr>
                <w:rFonts w:ascii="宋体" w:hAnsi="宋体" w:eastAsia="宋体" w:cs="宋体"/>
                <w:kern w:val="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vAlign w:val="center"/>
          </w:tcPr>
          <w:p>
            <w:pPr>
              <w:numPr>
                <w:ilvl w:val="0"/>
                <w:numId w:val="2"/>
              </w:numPr>
              <w:spacing w:line="360" w:lineRule="auto"/>
              <w:jc w:val="center"/>
              <w:rPr>
                <w:rFonts w:ascii="宋体" w:hAnsi="宋体" w:eastAsia="宋体"/>
                <w:szCs w:val="21"/>
              </w:rPr>
            </w:pPr>
          </w:p>
        </w:tc>
        <w:tc>
          <w:tcPr>
            <w:tcW w:w="749" w:type="pct"/>
            <w:vMerge w:val="continue"/>
            <w:vAlign w:val="center"/>
          </w:tcPr>
          <w:p>
            <w:pPr>
              <w:jc w:val="center"/>
              <w:rPr>
                <w:rFonts w:ascii="宋体" w:hAnsi="宋体" w:eastAsia="宋体"/>
                <w:szCs w:val="21"/>
              </w:rPr>
            </w:pPr>
          </w:p>
        </w:tc>
        <w:tc>
          <w:tcPr>
            <w:tcW w:w="3772" w:type="pct"/>
            <w:vAlign w:val="center"/>
          </w:tcPr>
          <w:p>
            <w:pPr>
              <w:rPr>
                <w:rFonts w:ascii="宋体" w:hAnsi="宋体" w:eastAsia="宋体" w:cs="宋体"/>
                <w:kern w:val="0"/>
                <w:szCs w:val="21"/>
              </w:rPr>
            </w:pPr>
            <w:r>
              <w:rPr>
                <w:rFonts w:hint="eastAsia" w:ascii="宋体" w:hAnsi="宋体" w:eastAsia="宋体" w:cs="宋体"/>
                <w:kern w:val="0"/>
                <w:szCs w:val="21"/>
              </w:rPr>
              <w:t>支持实现区域医疗机构之间检查项目关联一对一映射，定义分类统一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vAlign w:val="center"/>
          </w:tcPr>
          <w:p>
            <w:pPr>
              <w:numPr>
                <w:ilvl w:val="0"/>
                <w:numId w:val="2"/>
              </w:numPr>
              <w:spacing w:line="360" w:lineRule="auto"/>
              <w:jc w:val="center"/>
              <w:rPr>
                <w:rFonts w:ascii="宋体" w:hAnsi="宋体" w:eastAsia="宋体"/>
                <w:szCs w:val="21"/>
              </w:rPr>
            </w:pPr>
          </w:p>
        </w:tc>
        <w:tc>
          <w:tcPr>
            <w:tcW w:w="749" w:type="pct"/>
            <w:vMerge w:val="restart"/>
            <w:vAlign w:val="center"/>
          </w:tcPr>
          <w:p>
            <w:pPr>
              <w:jc w:val="center"/>
              <w:rPr>
                <w:rFonts w:ascii="宋体" w:hAnsi="宋体" w:eastAsia="宋体"/>
                <w:szCs w:val="21"/>
              </w:rPr>
            </w:pPr>
            <w:r>
              <w:rPr>
                <w:rFonts w:hint="eastAsia" w:ascii="宋体" w:hAnsi="宋体" w:eastAsia="宋体"/>
                <w:szCs w:val="21"/>
              </w:rPr>
              <w:t>平台数据中心</w:t>
            </w:r>
          </w:p>
        </w:tc>
        <w:tc>
          <w:tcPr>
            <w:tcW w:w="3772" w:type="pct"/>
            <w:vAlign w:val="center"/>
          </w:tcPr>
          <w:p>
            <w:pPr>
              <w:rPr>
                <w:rFonts w:ascii="宋体" w:hAnsi="宋体" w:eastAsia="宋体" w:cs="宋体"/>
                <w:kern w:val="0"/>
                <w:szCs w:val="21"/>
              </w:rPr>
            </w:pPr>
            <w:r>
              <w:rPr>
                <w:rFonts w:hint="eastAsia" w:ascii="宋体" w:hAnsi="宋体" w:eastAsia="宋体" w:cs="宋体"/>
                <w:kern w:val="0"/>
                <w:szCs w:val="21"/>
              </w:rPr>
              <w:t>要求使用主流大型数据库管理系统（ORACLE/SQLSERVER）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vAlign w:val="center"/>
          </w:tcPr>
          <w:p>
            <w:pPr>
              <w:numPr>
                <w:ilvl w:val="0"/>
                <w:numId w:val="2"/>
              </w:numPr>
              <w:spacing w:line="360" w:lineRule="auto"/>
              <w:jc w:val="center"/>
              <w:rPr>
                <w:rFonts w:ascii="宋体" w:hAnsi="宋体" w:eastAsia="宋体"/>
                <w:szCs w:val="21"/>
              </w:rPr>
            </w:pPr>
          </w:p>
        </w:tc>
        <w:tc>
          <w:tcPr>
            <w:tcW w:w="749" w:type="pct"/>
            <w:vMerge w:val="continue"/>
            <w:vAlign w:val="center"/>
          </w:tcPr>
          <w:p>
            <w:pPr>
              <w:jc w:val="center"/>
              <w:rPr>
                <w:rFonts w:ascii="宋体" w:hAnsi="宋体" w:eastAsia="宋体"/>
                <w:szCs w:val="21"/>
              </w:rPr>
            </w:pPr>
          </w:p>
        </w:tc>
        <w:tc>
          <w:tcPr>
            <w:tcW w:w="3772" w:type="pct"/>
            <w:vAlign w:val="center"/>
          </w:tcPr>
          <w:p>
            <w:pPr>
              <w:rPr>
                <w:rFonts w:ascii="宋体" w:hAnsi="宋体" w:eastAsia="宋体" w:cs="宋体"/>
                <w:kern w:val="0"/>
                <w:szCs w:val="21"/>
              </w:rPr>
            </w:pPr>
            <w:r>
              <w:rPr>
                <w:rFonts w:hint="eastAsia" w:ascii="宋体" w:hAnsi="宋体" w:eastAsia="宋体" w:cs="宋体"/>
                <w:kern w:val="0"/>
                <w:szCs w:val="21"/>
              </w:rPr>
              <w:t>支持CR/DX/CT/MR/RF/XA/NM/PT/US/SC等各种DICOM数据类型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vAlign w:val="center"/>
          </w:tcPr>
          <w:p>
            <w:pPr>
              <w:numPr>
                <w:ilvl w:val="0"/>
                <w:numId w:val="2"/>
              </w:numPr>
              <w:spacing w:line="360" w:lineRule="auto"/>
              <w:jc w:val="center"/>
              <w:rPr>
                <w:rFonts w:ascii="宋体" w:hAnsi="宋体" w:eastAsia="宋体"/>
                <w:szCs w:val="21"/>
              </w:rPr>
            </w:pPr>
          </w:p>
        </w:tc>
        <w:tc>
          <w:tcPr>
            <w:tcW w:w="749" w:type="pct"/>
            <w:vMerge w:val="continue"/>
            <w:vAlign w:val="center"/>
          </w:tcPr>
          <w:p>
            <w:pPr>
              <w:jc w:val="center"/>
              <w:rPr>
                <w:rFonts w:ascii="宋体" w:hAnsi="宋体" w:eastAsia="宋体"/>
                <w:szCs w:val="21"/>
              </w:rPr>
            </w:pPr>
          </w:p>
        </w:tc>
        <w:tc>
          <w:tcPr>
            <w:tcW w:w="3772" w:type="pct"/>
            <w:vAlign w:val="center"/>
          </w:tcPr>
          <w:p>
            <w:pPr>
              <w:rPr>
                <w:rFonts w:ascii="宋体" w:hAnsi="宋体" w:eastAsia="宋体" w:cs="宋体"/>
                <w:kern w:val="0"/>
                <w:szCs w:val="21"/>
              </w:rPr>
            </w:pPr>
            <w:r>
              <w:rPr>
                <w:rFonts w:hint="eastAsia" w:ascii="宋体" w:hAnsi="宋体" w:eastAsia="宋体" w:cs="宋体"/>
                <w:kern w:val="0"/>
                <w:szCs w:val="21"/>
              </w:rPr>
              <w:t>支持JPEG Lossless/Lossy压缩算法的传输和存储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vAlign w:val="center"/>
          </w:tcPr>
          <w:p>
            <w:pPr>
              <w:numPr>
                <w:ilvl w:val="0"/>
                <w:numId w:val="2"/>
              </w:numPr>
              <w:spacing w:line="360" w:lineRule="auto"/>
              <w:jc w:val="center"/>
              <w:rPr>
                <w:rFonts w:ascii="宋体" w:hAnsi="宋体" w:eastAsia="宋体"/>
                <w:szCs w:val="21"/>
              </w:rPr>
            </w:pPr>
          </w:p>
        </w:tc>
        <w:tc>
          <w:tcPr>
            <w:tcW w:w="749" w:type="pct"/>
            <w:vMerge w:val="continue"/>
            <w:vAlign w:val="center"/>
          </w:tcPr>
          <w:p>
            <w:pPr>
              <w:jc w:val="center"/>
              <w:rPr>
                <w:rFonts w:ascii="宋体" w:hAnsi="宋体" w:eastAsia="宋体"/>
                <w:szCs w:val="21"/>
              </w:rPr>
            </w:pPr>
          </w:p>
        </w:tc>
        <w:tc>
          <w:tcPr>
            <w:tcW w:w="3772" w:type="pct"/>
            <w:vAlign w:val="center"/>
          </w:tcPr>
          <w:p>
            <w:pPr>
              <w:rPr>
                <w:rFonts w:ascii="宋体" w:hAnsi="宋体" w:eastAsia="宋体" w:cs="宋体"/>
                <w:kern w:val="0"/>
                <w:szCs w:val="21"/>
              </w:rPr>
            </w:pPr>
            <w:r>
              <w:rPr>
                <w:rFonts w:hint="eastAsia" w:ascii="宋体" w:hAnsi="宋体" w:eastAsia="宋体" w:cs="宋体"/>
                <w:kern w:val="0"/>
                <w:szCs w:val="21"/>
              </w:rPr>
              <w:t>提供DICOM3.0的SOP Class：Patient Root Find/Move、Study Root Find/Move，可允许多个客户端工作站同时根据患者姓名、检查设备、检查部位、影像号、检查时间日期等多种查询条件的组合形式查询与调阅影像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vAlign w:val="center"/>
          </w:tcPr>
          <w:p>
            <w:pPr>
              <w:numPr>
                <w:ilvl w:val="0"/>
                <w:numId w:val="2"/>
              </w:numPr>
              <w:spacing w:line="360" w:lineRule="auto"/>
              <w:jc w:val="center"/>
              <w:rPr>
                <w:rFonts w:ascii="宋体" w:hAnsi="宋体" w:eastAsia="宋体"/>
                <w:szCs w:val="21"/>
              </w:rPr>
            </w:pPr>
          </w:p>
        </w:tc>
        <w:tc>
          <w:tcPr>
            <w:tcW w:w="749" w:type="pct"/>
            <w:vMerge w:val="continue"/>
            <w:vAlign w:val="center"/>
          </w:tcPr>
          <w:p>
            <w:pPr>
              <w:jc w:val="center"/>
              <w:rPr>
                <w:rFonts w:ascii="宋体" w:hAnsi="宋体" w:eastAsia="宋体"/>
                <w:szCs w:val="21"/>
              </w:rPr>
            </w:pPr>
          </w:p>
        </w:tc>
        <w:tc>
          <w:tcPr>
            <w:tcW w:w="3772" w:type="pct"/>
            <w:vAlign w:val="center"/>
          </w:tcPr>
          <w:p>
            <w:pPr>
              <w:rPr>
                <w:rFonts w:ascii="宋体" w:hAnsi="宋体" w:eastAsia="宋体" w:cs="宋体"/>
                <w:kern w:val="0"/>
                <w:szCs w:val="21"/>
              </w:rPr>
            </w:pPr>
            <w:r>
              <w:rPr>
                <w:rFonts w:hint="eastAsia" w:ascii="宋体" w:hAnsi="宋体" w:eastAsia="宋体" w:cs="宋体"/>
                <w:kern w:val="0"/>
                <w:szCs w:val="21"/>
              </w:rPr>
              <w:t>支持影像预取和影像自动路由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vAlign w:val="center"/>
          </w:tcPr>
          <w:p>
            <w:pPr>
              <w:numPr>
                <w:ilvl w:val="0"/>
                <w:numId w:val="2"/>
              </w:numPr>
              <w:spacing w:line="360" w:lineRule="auto"/>
              <w:jc w:val="center"/>
              <w:rPr>
                <w:rFonts w:ascii="宋体" w:hAnsi="宋体" w:eastAsia="宋体"/>
                <w:szCs w:val="21"/>
              </w:rPr>
            </w:pPr>
          </w:p>
        </w:tc>
        <w:tc>
          <w:tcPr>
            <w:tcW w:w="749" w:type="pct"/>
            <w:vMerge w:val="restart"/>
            <w:vAlign w:val="center"/>
          </w:tcPr>
          <w:p>
            <w:pPr>
              <w:jc w:val="center"/>
              <w:rPr>
                <w:rFonts w:ascii="宋体" w:hAnsi="宋体" w:eastAsia="宋体"/>
                <w:szCs w:val="21"/>
              </w:rPr>
            </w:pPr>
            <w:r>
              <w:rPr>
                <w:rFonts w:hint="eastAsia" w:ascii="宋体" w:hAnsi="宋体" w:eastAsia="宋体" w:cs="宋体"/>
                <w:kern w:val="0"/>
                <w:szCs w:val="21"/>
              </w:rPr>
              <w:t>各接入医疗机构前置机服务</w:t>
            </w:r>
          </w:p>
        </w:tc>
        <w:tc>
          <w:tcPr>
            <w:tcW w:w="3772" w:type="pct"/>
            <w:vAlign w:val="center"/>
          </w:tcPr>
          <w:p>
            <w:pPr>
              <w:rPr>
                <w:rFonts w:ascii="宋体" w:hAnsi="宋体" w:eastAsia="宋体" w:cs="宋体"/>
                <w:kern w:val="0"/>
                <w:szCs w:val="21"/>
              </w:rPr>
            </w:pPr>
            <w:r>
              <w:rPr>
                <w:rFonts w:hint="eastAsia" w:ascii="宋体" w:hAnsi="宋体" w:eastAsia="宋体" w:cs="宋体"/>
                <w:kern w:val="0"/>
                <w:szCs w:val="21"/>
              </w:rPr>
              <w:t>隔离内外网，与院内PACS/RIS系统连接，获取检查信息、报告信息和影像数据，并连接平台进行消息传递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vAlign w:val="center"/>
          </w:tcPr>
          <w:p>
            <w:pPr>
              <w:numPr>
                <w:ilvl w:val="0"/>
                <w:numId w:val="2"/>
              </w:numPr>
              <w:spacing w:line="360" w:lineRule="auto"/>
              <w:jc w:val="center"/>
              <w:rPr>
                <w:rFonts w:ascii="宋体" w:hAnsi="宋体" w:eastAsia="宋体"/>
                <w:szCs w:val="21"/>
              </w:rPr>
            </w:pPr>
          </w:p>
        </w:tc>
        <w:tc>
          <w:tcPr>
            <w:tcW w:w="749" w:type="pct"/>
            <w:vMerge w:val="continue"/>
            <w:vAlign w:val="center"/>
          </w:tcPr>
          <w:p>
            <w:pPr>
              <w:jc w:val="center"/>
              <w:rPr>
                <w:rFonts w:ascii="宋体" w:hAnsi="宋体" w:eastAsia="宋体" w:cs="宋体"/>
                <w:kern w:val="0"/>
                <w:szCs w:val="21"/>
              </w:rPr>
            </w:pPr>
          </w:p>
        </w:tc>
        <w:tc>
          <w:tcPr>
            <w:tcW w:w="3772" w:type="pct"/>
            <w:vAlign w:val="center"/>
          </w:tcPr>
          <w:p>
            <w:pPr>
              <w:rPr>
                <w:rFonts w:ascii="宋体" w:hAnsi="宋体" w:eastAsia="宋体" w:cs="宋体"/>
                <w:kern w:val="0"/>
                <w:szCs w:val="21"/>
              </w:rPr>
            </w:pPr>
            <w:r>
              <w:rPr>
                <w:rFonts w:hint="eastAsia" w:ascii="宋体" w:hAnsi="宋体" w:eastAsia="宋体" w:cs="宋体"/>
                <w:kern w:val="0"/>
                <w:szCs w:val="21"/>
              </w:rPr>
              <w:t>支持基于Webservice标准接口接入平台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vAlign w:val="center"/>
          </w:tcPr>
          <w:p>
            <w:pPr>
              <w:numPr>
                <w:ilvl w:val="0"/>
                <w:numId w:val="2"/>
              </w:numPr>
              <w:spacing w:line="360" w:lineRule="auto"/>
              <w:jc w:val="center"/>
              <w:rPr>
                <w:rFonts w:ascii="宋体" w:hAnsi="宋体" w:eastAsia="宋体"/>
                <w:szCs w:val="21"/>
              </w:rPr>
            </w:pPr>
          </w:p>
        </w:tc>
        <w:tc>
          <w:tcPr>
            <w:tcW w:w="749" w:type="pct"/>
            <w:vMerge w:val="continue"/>
            <w:vAlign w:val="center"/>
          </w:tcPr>
          <w:p>
            <w:pPr>
              <w:jc w:val="center"/>
              <w:rPr>
                <w:rFonts w:ascii="宋体" w:hAnsi="宋体" w:eastAsia="宋体" w:cs="宋体"/>
                <w:kern w:val="0"/>
                <w:szCs w:val="21"/>
              </w:rPr>
            </w:pPr>
          </w:p>
        </w:tc>
        <w:tc>
          <w:tcPr>
            <w:tcW w:w="3772" w:type="pct"/>
            <w:vAlign w:val="center"/>
          </w:tcPr>
          <w:p>
            <w:pPr>
              <w:rPr>
                <w:rFonts w:ascii="宋体" w:hAnsi="宋体" w:eastAsia="宋体" w:cs="宋体"/>
                <w:kern w:val="0"/>
                <w:szCs w:val="21"/>
              </w:rPr>
            </w:pPr>
            <w:r>
              <w:rPr>
                <w:rFonts w:hint="eastAsia" w:ascii="宋体" w:hAnsi="宋体" w:eastAsia="宋体" w:cs="宋体"/>
                <w:kern w:val="0"/>
                <w:szCs w:val="21"/>
              </w:rPr>
              <w:t>支持配置连接平台服务地址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vAlign w:val="center"/>
          </w:tcPr>
          <w:p>
            <w:pPr>
              <w:numPr>
                <w:ilvl w:val="0"/>
                <w:numId w:val="2"/>
              </w:numPr>
              <w:spacing w:line="360" w:lineRule="auto"/>
              <w:jc w:val="center"/>
              <w:rPr>
                <w:rFonts w:ascii="宋体" w:hAnsi="宋体" w:eastAsia="宋体"/>
                <w:szCs w:val="21"/>
              </w:rPr>
            </w:pPr>
          </w:p>
        </w:tc>
        <w:tc>
          <w:tcPr>
            <w:tcW w:w="749" w:type="pct"/>
            <w:vMerge w:val="continue"/>
            <w:vAlign w:val="center"/>
          </w:tcPr>
          <w:p>
            <w:pPr>
              <w:jc w:val="center"/>
              <w:rPr>
                <w:rFonts w:ascii="宋体" w:hAnsi="宋体" w:eastAsia="宋体" w:cs="宋体"/>
                <w:kern w:val="0"/>
                <w:szCs w:val="21"/>
              </w:rPr>
            </w:pPr>
          </w:p>
        </w:tc>
        <w:tc>
          <w:tcPr>
            <w:tcW w:w="3772" w:type="pct"/>
            <w:vAlign w:val="center"/>
          </w:tcPr>
          <w:p>
            <w:pPr>
              <w:rPr>
                <w:rFonts w:ascii="宋体" w:hAnsi="宋体" w:eastAsia="宋体" w:cs="宋体"/>
                <w:kern w:val="0"/>
                <w:szCs w:val="21"/>
              </w:rPr>
            </w:pPr>
            <w:r>
              <w:rPr>
                <w:rFonts w:hint="eastAsia" w:ascii="宋体" w:hAnsi="宋体" w:eastAsia="宋体" w:cs="宋体"/>
                <w:kern w:val="0"/>
                <w:szCs w:val="21"/>
              </w:rPr>
              <w:t>支持配置连接本地PACS系统的数据库/数据源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vAlign w:val="center"/>
          </w:tcPr>
          <w:p>
            <w:pPr>
              <w:numPr>
                <w:ilvl w:val="0"/>
                <w:numId w:val="2"/>
              </w:numPr>
              <w:spacing w:line="360" w:lineRule="auto"/>
              <w:jc w:val="center"/>
              <w:rPr>
                <w:rFonts w:ascii="宋体" w:hAnsi="宋体" w:eastAsia="宋体"/>
                <w:szCs w:val="21"/>
              </w:rPr>
            </w:pPr>
          </w:p>
        </w:tc>
        <w:tc>
          <w:tcPr>
            <w:tcW w:w="749" w:type="pct"/>
            <w:vMerge w:val="continue"/>
            <w:vAlign w:val="center"/>
          </w:tcPr>
          <w:p>
            <w:pPr>
              <w:jc w:val="center"/>
              <w:rPr>
                <w:rFonts w:ascii="宋体" w:hAnsi="宋体" w:eastAsia="宋体" w:cs="宋体"/>
                <w:kern w:val="0"/>
                <w:szCs w:val="21"/>
              </w:rPr>
            </w:pPr>
          </w:p>
        </w:tc>
        <w:tc>
          <w:tcPr>
            <w:tcW w:w="3772" w:type="pct"/>
            <w:vAlign w:val="center"/>
          </w:tcPr>
          <w:p>
            <w:pPr>
              <w:rPr>
                <w:rFonts w:ascii="宋体" w:hAnsi="宋体" w:eastAsia="宋体" w:cs="宋体"/>
                <w:kern w:val="0"/>
                <w:szCs w:val="21"/>
              </w:rPr>
            </w:pPr>
            <w:r>
              <w:rPr>
                <w:rFonts w:hint="eastAsia" w:ascii="宋体" w:hAnsi="宋体" w:eastAsia="宋体" w:cs="宋体"/>
                <w:kern w:val="0"/>
                <w:szCs w:val="21"/>
              </w:rPr>
              <w:t>提供任务管理、检查状态监测、图像监测服务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vAlign w:val="center"/>
          </w:tcPr>
          <w:p>
            <w:pPr>
              <w:numPr>
                <w:ilvl w:val="0"/>
                <w:numId w:val="2"/>
              </w:numPr>
              <w:spacing w:line="360" w:lineRule="auto"/>
              <w:jc w:val="center"/>
              <w:rPr>
                <w:rFonts w:ascii="宋体" w:hAnsi="宋体" w:eastAsia="宋体"/>
                <w:szCs w:val="21"/>
              </w:rPr>
            </w:pPr>
          </w:p>
        </w:tc>
        <w:tc>
          <w:tcPr>
            <w:tcW w:w="749" w:type="pct"/>
            <w:vMerge w:val="continue"/>
            <w:vAlign w:val="center"/>
          </w:tcPr>
          <w:p>
            <w:pPr>
              <w:jc w:val="center"/>
              <w:rPr>
                <w:rFonts w:ascii="宋体" w:hAnsi="宋体" w:eastAsia="宋体" w:cs="宋体"/>
                <w:kern w:val="0"/>
                <w:szCs w:val="21"/>
              </w:rPr>
            </w:pPr>
          </w:p>
        </w:tc>
        <w:tc>
          <w:tcPr>
            <w:tcW w:w="3772" w:type="pct"/>
            <w:vAlign w:val="center"/>
          </w:tcPr>
          <w:p>
            <w:pPr>
              <w:rPr>
                <w:rFonts w:ascii="宋体" w:hAnsi="宋体" w:eastAsia="宋体" w:cs="宋体"/>
                <w:kern w:val="0"/>
                <w:szCs w:val="21"/>
              </w:rPr>
            </w:pPr>
            <w:r>
              <w:rPr>
                <w:rFonts w:hint="eastAsia" w:ascii="宋体" w:hAnsi="宋体" w:eastAsia="宋体" w:cs="宋体"/>
                <w:kern w:val="0"/>
                <w:szCs w:val="21"/>
              </w:rPr>
              <w:t>支持接收平台传递的相关消息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vAlign w:val="center"/>
          </w:tcPr>
          <w:p>
            <w:pPr>
              <w:numPr>
                <w:ilvl w:val="0"/>
                <w:numId w:val="2"/>
              </w:numPr>
              <w:spacing w:line="360" w:lineRule="auto"/>
              <w:jc w:val="center"/>
              <w:rPr>
                <w:rFonts w:ascii="宋体" w:hAnsi="宋体" w:eastAsia="宋体"/>
                <w:szCs w:val="21"/>
              </w:rPr>
            </w:pPr>
          </w:p>
        </w:tc>
        <w:tc>
          <w:tcPr>
            <w:tcW w:w="749" w:type="pct"/>
            <w:vMerge w:val="continue"/>
            <w:vAlign w:val="center"/>
          </w:tcPr>
          <w:p>
            <w:pPr>
              <w:jc w:val="center"/>
              <w:rPr>
                <w:rFonts w:ascii="宋体" w:hAnsi="宋体" w:eastAsia="宋体" w:cs="宋体"/>
                <w:kern w:val="0"/>
                <w:szCs w:val="21"/>
              </w:rPr>
            </w:pPr>
          </w:p>
        </w:tc>
        <w:tc>
          <w:tcPr>
            <w:tcW w:w="3772" w:type="pct"/>
            <w:vAlign w:val="center"/>
          </w:tcPr>
          <w:p>
            <w:pPr>
              <w:rPr>
                <w:rFonts w:ascii="宋体" w:hAnsi="宋体" w:eastAsia="宋体" w:cs="宋体"/>
                <w:kern w:val="0"/>
                <w:szCs w:val="21"/>
              </w:rPr>
            </w:pPr>
            <w:r>
              <w:rPr>
                <w:rFonts w:hint="eastAsia" w:ascii="宋体" w:hAnsi="宋体" w:eastAsia="宋体" w:cs="宋体"/>
                <w:kern w:val="0"/>
                <w:szCs w:val="21"/>
              </w:rPr>
              <w:t>支持回传平台相关应答消息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vAlign w:val="center"/>
          </w:tcPr>
          <w:p>
            <w:pPr>
              <w:numPr>
                <w:ilvl w:val="0"/>
                <w:numId w:val="2"/>
              </w:numPr>
              <w:spacing w:line="360" w:lineRule="auto"/>
              <w:jc w:val="center"/>
              <w:rPr>
                <w:rFonts w:ascii="宋体" w:hAnsi="宋体" w:eastAsia="宋体"/>
                <w:szCs w:val="21"/>
              </w:rPr>
            </w:pPr>
          </w:p>
        </w:tc>
        <w:tc>
          <w:tcPr>
            <w:tcW w:w="749" w:type="pct"/>
            <w:vMerge w:val="continue"/>
            <w:vAlign w:val="center"/>
          </w:tcPr>
          <w:p>
            <w:pPr>
              <w:jc w:val="center"/>
              <w:rPr>
                <w:rFonts w:ascii="宋体" w:hAnsi="宋体" w:eastAsia="宋体" w:cs="宋体"/>
                <w:kern w:val="0"/>
                <w:szCs w:val="21"/>
              </w:rPr>
            </w:pPr>
          </w:p>
        </w:tc>
        <w:tc>
          <w:tcPr>
            <w:tcW w:w="3772" w:type="pct"/>
            <w:vAlign w:val="center"/>
          </w:tcPr>
          <w:p>
            <w:pPr>
              <w:rPr>
                <w:rFonts w:ascii="宋体" w:hAnsi="宋体" w:eastAsia="宋体" w:cs="宋体"/>
                <w:kern w:val="0"/>
                <w:szCs w:val="21"/>
              </w:rPr>
            </w:pPr>
            <w:r>
              <w:rPr>
                <w:rFonts w:hint="eastAsia" w:ascii="宋体" w:hAnsi="宋体" w:eastAsia="宋体" w:cs="宋体"/>
                <w:color w:val="000000"/>
                <w:kern w:val="0"/>
                <w:szCs w:val="21"/>
              </w:rPr>
              <w:t>任务提交方需建立符合DICOM标准的WADO服务，以实现区域图像数据的调阅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vAlign w:val="center"/>
          </w:tcPr>
          <w:p>
            <w:pPr>
              <w:numPr>
                <w:ilvl w:val="0"/>
                <w:numId w:val="2"/>
              </w:numPr>
              <w:spacing w:line="360" w:lineRule="auto"/>
              <w:jc w:val="center"/>
              <w:rPr>
                <w:rFonts w:ascii="宋体" w:hAnsi="宋体" w:eastAsia="宋体"/>
                <w:szCs w:val="21"/>
              </w:rPr>
            </w:pPr>
          </w:p>
        </w:tc>
        <w:tc>
          <w:tcPr>
            <w:tcW w:w="749" w:type="pct"/>
            <w:vMerge w:val="continue"/>
            <w:vAlign w:val="center"/>
          </w:tcPr>
          <w:p>
            <w:pPr>
              <w:jc w:val="center"/>
              <w:rPr>
                <w:rFonts w:ascii="宋体" w:hAnsi="宋体" w:eastAsia="宋体" w:cs="宋体"/>
                <w:kern w:val="0"/>
                <w:szCs w:val="21"/>
              </w:rPr>
            </w:pPr>
          </w:p>
        </w:tc>
        <w:tc>
          <w:tcPr>
            <w:tcW w:w="3772" w:type="pct"/>
            <w:vAlign w:val="center"/>
          </w:tcPr>
          <w:p>
            <w:pPr>
              <w:rPr>
                <w:rFonts w:ascii="宋体" w:hAnsi="宋体" w:eastAsia="宋体" w:cs="宋体"/>
                <w:color w:val="000000"/>
                <w:kern w:val="0"/>
                <w:szCs w:val="21"/>
              </w:rPr>
            </w:pPr>
            <w:r>
              <w:rPr>
                <w:rFonts w:hint="eastAsia" w:ascii="宋体" w:hAnsi="宋体" w:eastAsia="宋体" w:cs="宋体"/>
                <w:color w:val="000000"/>
                <w:kern w:val="0"/>
                <w:szCs w:val="21"/>
              </w:rPr>
              <w:t>任务提交方WADO影像访问服务软件支持提供标准的WADO（Web Access to DICOM Persistent Objects）访问服务。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vAlign w:val="center"/>
          </w:tcPr>
          <w:p>
            <w:pPr>
              <w:numPr>
                <w:ilvl w:val="0"/>
                <w:numId w:val="2"/>
              </w:numPr>
              <w:spacing w:line="360" w:lineRule="auto"/>
              <w:jc w:val="center"/>
              <w:rPr>
                <w:rFonts w:ascii="宋体" w:hAnsi="宋体" w:eastAsia="宋体"/>
                <w:szCs w:val="21"/>
              </w:rPr>
            </w:pPr>
          </w:p>
        </w:tc>
        <w:tc>
          <w:tcPr>
            <w:tcW w:w="749" w:type="pct"/>
            <w:vMerge w:val="continue"/>
            <w:vAlign w:val="center"/>
          </w:tcPr>
          <w:p>
            <w:pPr>
              <w:jc w:val="center"/>
              <w:rPr>
                <w:rFonts w:ascii="宋体" w:hAnsi="宋体" w:eastAsia="宋体" w:cs="宋体"/>
                <w:kern w:val="0"/>
                <w:szCs w:val="21"/>
              </w:rPr>
            </w:pPr>
          </w:p>
        </w:tc>
        <w:tc>
          <w:tcPr>
            <w:tcW w:w="3772" w:type="pct"/>
            <w:vAlign w:val="center"/>
          </w:tcPr>
          <w:p>
            <w:pPr>
              <w:rPr>
                <w:rFonts w:ascii="宋体" w:hAnsi="宋体" w:eastAsia="宋体" w:cs="宋体"/>
                <w:color w:val="000000"/>
                <w:kern w:val="0"/>
                <w:szCs w:val="21"/>
              </w:rPr>
            </w:pPr>
            <w:r>
              <w:rPr>
                <w:rFonts w:hint="eastAsia" w:ascii="宋体" w:hAnsi="宋体" w:eastAsia="宋体" w:cs="宋体"/>
                <w:kern w:val="0"/>
                <w:szCs w:val="21"/>
              </w:rPr>
              <w:t>任务处理方提供DICOM通信服务（DICOM Storage SCU/SCP）接口的PACS系统进行图像注册发布、查询提取的通信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vAlign w:val="center"/>
          </w:tcPr>
          <w:p>
            <w:pPr>
              <w:numPr>
                <w:ilvl w:val="0"/>
                <w:numId w:val="2"/>
              </w:numPr>
              <w:spacing w:line="360" w:lineRule="auto"/>
              <w:jc w:val="center"/>
              <w:rPr>
                <w:rFonts w:ascii="宋体" w:hAnsi="宋体" w:eastAsia="宋体"/>
                <w:szCs w:val="21"/>
              </w:rPr>
            </w:pPr>
          </w:p>
        </w:tc>
        <w:tc>
          <w:tcPr>
            <w:tcW w:w="749" w:type="pct"/>
            <w:vMerge w:val="continue"/>
            <w:vAlign w:val="center"/>
          </w:tcPr>
          <w:p>
            <w:pPr>
              <w:jc w:val="center"/>
              <w:rPr>
                <w:rFonts w:ascii="宋体" w:hAnsi="宋体" w:eastAsia="宋体" w:cs="宋体"/>
                <w:kern w:val="0"/>
                <w:szCs w:val="21"/>
              </w:rPr>
            </w:pPr>
          </w:p>
        </w:tc>
        <w:tc>
          <w:tcPr>
            <w:tcW w:w="3772" w:type="pct"/>
            <w:vAlign w:val="center"/>
          </w:tcPr>
          <w:p>
            <w:pPr>
              <w:rPr>
                <w:rFonts w:ascii="宋体" w:hAnsi="宋体" w:eastAsia="宋体" w:cs="宋体"/>
                <w:kern w:val="0"/>
                <w:szCs w:val="21"/>
              </w:rPr>
            </w:pPr>
            <w:r>
              <w:rPr>
                <w:rFonts w:hint="eastAsia" w:ascii="宋体" w:hAnsi="宋体" w:eastAsia="宋体" w:cs="宋体"/>
                <w:color w:val="000000"/>
                <w:kern w:val="0"/>
                <w:szCs w:val="21"/>
              </w:rPr>
              <w:t>支持DICOM影像提供、影像请求转发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vAlign w:val="center"/>
          </w:tcPr>
          <w:p>
            <w:pPr>
              <w:numPr>
                <w:ilvl w:val="0"/>
                <w:numId w:val="2"/>
              </w:numPr>
              <w:spacing w:line="360" w:lineRule="auto"/>
              <w:jc w:val="center"/>
              <w:rPr>
                <w:rFonts w:ascii="宋体" w:hAnsi="宋体" w:eastAsia="宋体"/>
                <w:szCs w:val="21"/>
              </w:rPr>
            </w:pPr>
          </w:p>
        </w:tc>
        <w:tc>
          <w:tcPr>
            <w:tcW w:w="749" w:type="pct"/>
            <w:vMerge w:val="continue"/>
            <w:vAlign w:val="center"/>
          </w:tcPr>
          <w:p>
            <w:pPr>
              <w:jc w:val="center"/>
              <w:rPr>
                <w:rFonts w:ascii="宋体" w:hAnsi="宋体" w:eastAsia="宋体" w:cs="宋体"/>
                <w:kern w:val="0"/>
                <w:szCs w:val="21"/>
              </w:rPr>
            </w:pPr>
          </w:p>
        </w:tc>
        <w:tc>
          <w:tcPr>
            <w:tcW w:w="3772" w:type="pct"/>
            <w:vAlign w:val="center"/>
          </w:tcPr>
          <w:p>
            <w:pPr>
              <w:rPr>
                <w:rFonts w:ascii="宋体" w:hAnsi="宋体" w:eastAsia="宋体" w:cs="宋体"/>
                <w:color w:val="000000"/>
                <w:kern w:val="0"/>
                <w:szCs w:val="21"/>
              </w:rPr>
            </w:pPr>
            <w:r>
              <w:rPr>
                <w:rFonts w:hint="eastAsia" w:ascii="宋体" w:hAnsi="宋体" w:eastAsia="宋体" w:cs="宋体"/>
                <w:color w:val="000000"/>
                <w:kern w:val="0"/>
                <w:szCs w:val="21"/>
              </w:rPr>
              <w:t>支持影像文档使用者向影像文件源发起一个消息请求，获取特定的DICOM影像实例，影像文件源收到请求后，生成与请求相应的内容并向影像文档使用者发送一个消息回复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vAlign w:val="center"/>
          </w:tcPr>
          <w:p>
            <w:pPr>
              <w:numPr>
                <w:ilvl w:val="0"/>
                <w:numId w:val="2"/>
              </w:numPr>
              <w:spacing w:line="360" w:lineRule="auto"/>
              <w:jc w:val="center"/>
              <w:rPr>
                <w:rFonts w:ascii="宋体" w:hAnsi="宋体" w:eastAsia="宋体"/>
                <w:szCs w:val="21"/>
              </w:rPr>
            </w:pPr>
          </w:p>
        </w:tc>
        <w:tc>
          <w:tcPr>
            <w:tcW w:w="749" w:type="pct"/>
            <w:vMerge w:val="restart"/>
            <w:vAlign w:val="center"/>
          </w:tcPr>
          <w:p>
            <w:pPr>
              <w:jc w:val="center"/>
              <w:rPr>
                <w:rFonts w:ascii="宋体" w:hAnsi="宋体" w:eastAsia="宋体" w:cs="宋体"/>
                <w:kern w:val="0"/>
                <w:szCs w:val="21"/>
              </w:rPr>
            </w:pPr>
            <w:r>
              <w:rPr>
                <w:rFonts w:hint="eastAsia" w:ascii="宋体" w:hAnsi="宋体" w:eastAsia="宋体" w:cs="宋体"/>
                <w:kern w:val="0"/>
                <w:szCs w:val="21"/>
              </w:rPr>
              <w:t>远程疑难会诊</w:t>
            </w:r>
          </w:p>
        </w:tc>
        <w:tc>
          <w:tcPr>
            <w:tcW w:w="3772" w:type="pct"/>
          </w:tcPr>
          <w:p>
            <w:pPr>
              <w:rPr>
                <w:rFonts w:ascii="宋体" w:hAnsi="宋体" w:eastAsia="宋体" w:cs="宋体"/>
                <w:color w:val="000000"/>
                <w:kern w:val="0"/>
                <w:szCs w:val="21"/>
              </w:rPr>
            </w:pPr>
            <w:r>
              <w:rPr>
                <w:rFonts w:hint="eastAsia" w:ascii="宋体" w:hAnsi="宋体" w:eastAsia="宋体"/>
                <w:szCs w:val="21"/>
              </w:rPr>
              <w:t>实现区域会诊中心与下属各级医院之间疑难会诊业务，包括会诊申请、处理、返回结果等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vAlign w:val="center"/>
          </w:tcPr>
          <w:p>
            <w:pPr>
              <w:numPr>
                <w:ilvl w:val="0"/>
                <w:numId w:val="2"/>
              </w:numPr>
              <w:spacing w:line="360" w:lineRule="auto"/>
              <w:jc w:val="center"/>
              <w:rPr>
                <w:rFonts w:ascii="宋体" w:hAnsi="宋体" w:eastAsia="宋体"/>
                <w:szCs w:val="21"/>
              </w:rPr>
            </w:pPr>
          </w:p>
        </w:tc>
        <w:tc>
          <w:tcPr>
            <w:tcW w:w="749" w:type="pct"/>
            <w:vMerge w:val="continue"/>
            <w:vAlign w:val="center"/>
          </w:tcPr>
          <w:p>
            <w:pPr>
              <w:jc w:val="center"/>
              <w:rPr>
                <w:rFonts w:ascii="宋体" w:hAnsi="宋体" w:eastAsia="宋体" w:cs="宋体"/>
                <w:kern w:val="0"/>
                <w:szCs w:val="21"/>
              </w:rPr>
            </w:pPr>
          </w:p>
        </w:tc>
        <w:tc>
          <w:tcPr>
            <w:tcW w:w="3772" w:type="pct"/>
          </w:tcPr>
          <w:p>
            <w:pPr>
              <w:rPr>
                <w:rFonts w:ascii="宋体" w:hAnsi="宋体" w:eastAsia="宋体" w:cs="宋体"/>
                <w:color w:val="000000"/>
                <w:kern w:val="0"/>
                <w:szCs w:val="21"/>
              </w:rPr>
            </w:pPr>
            <w:r>
              <w:rPr>
                <w:rFonts w:hint="eastAsia" w:ascii="宋体" w:hAnsi="宋体" w:eastAsia="宋体"/>
                <w:szCs w:val="21"/>
              </w:rPr>
              <w:t>支持提交方主动推送会诊请求、图像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vAlign w:val="center"/>
          </w:tcPr>
          <w:p>
            <w:pPr>
              <w:numPr>
                <w:ilvl w:val="0"/>
                <w:numId w:val="2"/>
              </w:numPr>
              <w:spacing w:line="360" w:lineRule="auto"/>
              <w:jc w:val="center"/>
              <w:rPr>
                <w:rFonts w:ascii="宋体" w:hAnsi="宋体" w:eastAsia="宋体"/>
                <w:szCs w:val="21"/>
              </w:rPr>
            </w:pPr>
          </w:p>
        </w:tc>
        <w:tc>
          <w:tcPr>
            <w:tcW w:w="749" w:type="pct"/>
            <w:vMerge w:val="continue"/>
            <w:vAlign w:val="center"/>
          </w:tcPr>
          <w:p>
            <w:pPr>
              <w:jc w:val="center"/>
              <w:rPr>
                <w:rFonts w:ascii="宋体" w:hAnsi="宋体" w:eastAsia="宋体" w:cs="宋体"/>
                <w:kern w:val="0"/>
                <w:szCs w:val="21"/>
              </w:rPr>
            </w:pPr>
          </w:p>
        </w:tc>
        <w:tc>
          <w:tcPr>
            <w:tcW w:w="3772" w:type="pct"/>
          </w:tcPr>
          <w:p>
            <w:pPr>
              <w:rPr>
                <w:rFonts w:ascii="宋体" w:hAnsi="宋体" w:eastAsia="宋体" w:cs="宋体"/>
                <w:color w:val="000000"/>
                <w:kern w:val="0"/>
                <w:szCs w:val="21"/>
              </w:rPr>
            </w:pPr>
            <w:r>
              <w:rPr>
                <w:rFonts w:hint="eastAsia" w:ascii="宋体" w:hAnsi="宋体" w:eastAsia="宋体"/>
                <w:szCs w:val="21"/>
              </w:rPr>
              <w:t>推送模式支持提交方将影像提前发送至平台数据中心或会诊医院院内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vAlign w:val="center"/>
          </w:tcPr>
          <w:p>
            <w:pPr>
              <w:numPr>
                <w:ilvl w:val="0"/>
                <w:numId w:val="2"/>
              </w:numPr>
              <w:spacing w:line="360" w:lineRule="auto"/>
              <w:jc w:val="center"/>
              <w:rPr>
                <w:rFonts w:ascii="宋体" w:hAnsi="宋体" w:eastAsia="宋体"/>
                <w:szCs w:val="21"/>
              </w:rPr>
            </w:pPr>
          </w:p>
        </w:tc>
        <w:tc>
          <w:tcPr>
            <w:tcW w:w="749" w:type="pct"/>
            <w:vMerge w:val="continue"/>
            <w:vAlign w:val="center"/>
          </w:tcPr>
          <w:p>
            <w:pPr>
              <w:jc w:val="center"/>
              <w:rPr>
                <w:rFonts w:ascii="宋体" w:hAnsi="宋体" w:eastAsia="宋体" w:cs="宋体"/>
                <w:kern w:val="0"/>
                <w:szCs w:val="21"/>
              </w:rPr>
            </w:pPr>
          </w:p>
        </w:tc>
        <w:tc>
          <w:tcPr>
            <w:tcW w:w="3772" w:type="pct"/>
          </w:tcPr>
          <w:p>
            <w:pPr>
              <w:rPr>
                <w:rFonts w:ascii="宋体" w:hAnsi="宋体" w:eastAsia="宋体" w:cs="宋体"/>
                <w:color w:val="000000"/>
                <w:kern w:val="0"/>
                <w:szCs w:val="21"/>
              </w:rPr>
            </w:pPr>
            <w:r>
              <w:rPr>
                <w:rFonts w:hint="eastAsia" w:ascii="宋体" w:hAnsi="宋体" w:eastAsia="宋体"/>
                <w:szCs w:val="21"/>
              </w:rPr>
              <w:t>支持处理方自主查询查询会诊任务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vAlign w:val="center"/>
          </w:tcPr>
          <w:p>
            <w:pPr>
              <w:numPr>
                <w:ilvl w:val="0"/>
                <w:numId w:val="2"/>
              </w:numPr>
              <w:spacing w:line="360" w:lineRule="auto"/>
              <w:jc w:val="center"/>
              <w:rPr>
                <w:rFonts w:ascii="宋体" w:hAnsi="宋体" w:eastAsia="宋体"/>
                <w:szCs w:val="21"/>
              </w:rPr>
            </w:pPr>
          </w:p>
        </w:tc>
        <w:tc>
          <w:tcPr>
            <w:tcW w:w="749" w:type="pct"/>
            <w:vMerge w:val="continue"/>
            <w:vAlign w:val="center"/>
          </w:tcPr>
          <w:p>
            <w:pPr>
              <w:jc w:val="center"/>
              <w:rPr>
                <w:rFonts w:ascii="宋体" w:hAnsi="宋体" w:eastAsia="宋体" w:cs="宋体"/>
                <w:kern w:val="0"/>
                <w:szCs w:val="21"/>
              </w:rPr>
            </w:pPr>
          </w:p>
        </w:tc>
        <w:tc>
          <w:tcPr>
            <w:tcW w:w="3772" w:type="pct"/>
          </w:tcPr>
          <w:p>
            <w:pPr>
              <w:rPr>
                <w:rFonts w:ascii="宋体" w:hAnsi="宋体" w:eastAsia="宋体" w:cs="宋体"/>
                <w:color w:val="000000"/>
                <w:kern w:val="0"/>
                <w:szCs w:val="21"/>
              </w:rPr>
            </w:pPr>
            <w:r>
              <w:rPr>
                <w:rFonts w:hint="eastAsia" w:ascii="宋体" w:hAnsi="宋体" w:eastAsia="宋体"/>
                <w:szCs w:val="21"/>
              </w:rPr>
              <w:t>查询模式支持处理方通过平台服务及院侧代理服务直接访问提交方DB获取检查数据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vAlign w:val="center"/>
          </w:tcPr>
          <w:p>
            <w:pPr>
              <w:numPr>
                <w:ilvl w:val="0"/>
                <w:numId w:val="2"/>
              </w:numPr>
              <w:spacing w:line="360" w:lineRule="auto"/>
              <w:jc w:val="center"/>
              <w:rPr>
                <w:rFonts w:ascii="宋体" w:hAnsi="宋体" w:eastAsia="宋体"/>
                <w:szCs w:val="21"/>
              </w:rPr>
            </w:pPr>
          </w:p>
        </w:tc>
        <w:tc>
          <w:tcPr>
            <w:tcW w:w="749" w:type="pct"/>
            <w:vMerge w:val="continue"/>
            <w:vAlign w:val="center"/>
          </w:tcPr>
          <w:p>
            <w:pPr>
              <w:jc w:val="center"/>
              <w:rPr>
                <w:rFonts w:ascii="宋体" w:hAnsi="宋体" w:eastAsia="宋体" w:cs="宋体"/>
                <w:kern w:val="0"/>
                <w:szCs w:val="21"/>
              </w:rPr>
            </w:pPr>
          </w:p>
        </w:tc>
        <w:tc>
          <w:tcPr>
            <w:tcW w:w="3772" w:type="pct"/>
          </w:tcPr>
          <w:p>
            <w:pPr>
              <w:rPr>
                <w:rFonts w:ascii="宋体" w:hAnsi="宋体" w:eastAsia="宋体" w:cs="宋体"/>
                <w:color w:val="000000"/>
                <w:kern w:val="0"/>
                <w:szCs w:val="21"/>
              </w:rPr>
            </w:pPr>
            <w:r>
              <w:rPr>
                <w:rFonts w:hint="eastAsia" w:ascii="宋体" w:hAnsi="宋体" w:eastAsia="宋体"/>
                <w:szCs w:val="21"/>
              </w:rPr>
              <w:t>▲支持预取模式，即处理方查询任务后，选定若干任务并点击预取，将会诊所需的所有信息包括图像下载到平台数据中心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vAlign w:val="center"/>
          </w:tcPr>
          <w:p>
            <w:pPr>
              <w:numPr>
                <w:ilvl w:val="0"/>
                <w:numId w:val="2"/>
              </w:numPr>
              <w:spacing w:line="360" w:lineRule="auto"/>
              <w:jc w:val="center"/>
              <w:rPr>
                <w:rFonts w:ascii="宋体" w:hAnsi="宋体" w:eastAsia="宋体"/>
                <w:szCs w:val="21"/>
              </w:rPr>
            </w:pPr>
          </w:p>
        </w:tc>
        <w:tc>
          <w:tcPr>
            <w:tcW w:w="749" w:type="pct"/>
            <w:vMerge w:val="continue"/>
            <w:vAlign w:val="center"/>
          </w:tcPr>
          <w:p>
            <w:pPr>
              <w:jc w:val="center"/>
              <w:rPr>
                <w:rFonts w:ascii="宋体" w:hAnsi="宋体" w:eastAsia="宋体" w:cs="宋体"/>
                <w:kern w:val="0"/>
                <w:szCs w:val="21"/>
              </w:rPr>
            </w:pPr>
          </w:p>
        </w:tc>
        <w:tc>
          <w:tcPr>
            <w:tcW w:w="3772" w:type="pct"/>
          </w:tcPr>
          <w:p>
            <w:pPr>
              <w:rPr>
                <w:rFonts w:ascii="宋体" w:hAnsi="宋体" w:eastAsia="宋体" w:cs="宋体"/>
                <w:color w:val="000000"/>
                <w:kern w:val="0"/>
                <w:szCs w:val="21"/>
              </w:rPr>
            </w:pPr>
            <w:r>
              <w:rPr>
                <w:rFonts w:hint="eastAsia" w:ascii="宋体" w:hAnsi="宋体" w:eastAsia="宋体"/>
                <w:szCs w:val="21"/>
              </w:rPr>
              <w:t>支持远程影像诊断功能，在使用权限许可范围内，位于院外的医生可以随时随地直接访问本系统，调阅和处理影像数据，进行辅助诊断，出具疑难会诊报告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vAlign w:val="center"/>
          </w:tcPr>
          <w:p>
            <w:pPr>
              <w:numPr>
                <w:ilvl w:val="0"/>
                <w:numId w:val="2"/>
              </w:numPr>
              <w:spacing w:line="360" w:lineRule="auto"/>
              <w:jc w:val="center"/>
              <w:rPr>
                <w:rFonts w:ascii="宋体" w:hAnsi="宋体" w:eastAsia="宋体"/>
                <w:szCs w:val="21"/>
              </w:rPr>
            </w:pPr>
          </w:p>
        </w:tc>
        <w:tc>
          <w:tcPr>
            <w:tcW w:w="749" w:type="pct"/>
            <w:vMerge w:val="continue"/>
            <w:vAlign w:val="center"/>
          </w:tcPr>
          <w:p>
            <w:pPr>
              <w:jc w:val="center"/>
              <w:rPr>
                <w:rFonts w:ascii="宋体" w:hAnsi="宋体" w:eastAsia="宋体" w:cs="宋体"/>
                <w:kern w:val="0"/>
                <w:szCs w:val="21"/>
              </w:rPr>
            </w:pPr>
          </w:p>
        </w:tc>
        <w:tc>
          <w:tcPr>
            <w:tcW w:w="3772" w:type="pct"/>
          </w:tcPr>
          <w:p>
            <w:pPr>
              <w:rPr>
                <w:rFonts w:ascii="宋体" w:hAnsi="宋体" w:eastAsia="宋体" w:cs="宋体"/>
                <w:color w:val="000000"/>
                <w:kern w:val="0"/>
                <w:szCs w:val="21"/>
              </w:rPr>
            </w:pPr>
            <w:r>
              <w:rPr>
                <w:rFonts w:hint="eastAsia" w:ascii="宋体" w:hAnsi="宋体" w:eastAsia="宋体"/>
                <w:szCs w:val="21"/>
              </w:rPr>
              <w:t>▲支持与区域影像会诊中心院内同构PACS/RIS系统诊间融合，实时接收提交方疑难会诊申请、申检单及原始影像，完成会诊后自动返回会诊意见及关键影像，具有消息触发机制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vAlign w:val="center"/>
          </w:tcPr>
          <w:p>
            <w:pPr>
              <w:numPr>
                <w:ilvl w:val="0"/>
                <w:numId w:val="2"/>
              </w:numPr>
              <w:spacing w:line="360" w:lineRule="auto"/>
              <w:jc w:val="center"/>
              <w:rPr>
                <w:rFonts w:ascii="宋体" w:hAnsi="宋体" w:eastAsia="宋体"/>
                <w:szCs w:val="21"/>
              </w:rPr>
            </w:pPr>
          </w:p>
        </w:tc>
        <w:tc>
          <w:tcPr>
            <w:tcW w:w="749" w:type="pct"/>
            <w:vMerge w:val="continue"/>
            <w:vAlign w:val="center"/>
          </w:tcPr>
          <w:p>
            <w:pPr>
              <w:jc w:val="center"/>
              <w:rPr>
                <w:rFonts w:ascii="宋体" w:hAnsi="宋体" w:eastAsia="宋体" w:cs="宋体"/>
                <w:kern w:val="0"/>
                <w:szCs w:val="21"/>
              </w:rPr>
            </w:pPr>
          </w:p>
        </w:tc>
        <w:tc>
          <w:tcPr>
            <w:tcW w:w="3772" w:type="pct"/>
          </w:tcPr>
          <w:p>
            <w:pPr>
              <w:rPr>
                <w:rFonts w:ascii="宋体" w:hAnsi="宋体" w:eastAsia="宋体" w:cs="宋体"/>
                <w:color w:val="000000"/>
                <w:kern w:val="0"/>
                <w:szCs w:val="21"/>
              </w:rPr>
            </w:pPr>
            <w:r>
              <w:rPr>
                <w:rFonts w:hint="eastAsia" w:ascii="宋体" w:hAnsi="宋体" w:eastAsia="宋体"/>
                <w:szCs w:val="21"/>
              </w:rPr>
              <w:t>提交方各级医院的PACS/RIS系统须支持会诊申请功能模块，支持与区域疑难影像转出及会诊意见转入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vAlign w:val="center"/>
          </w:tcPr>
          <w:p>
            <w:pPr>
              <w:numPr>
                <w:ilvl w:val="0"/>
                <w:numId w:val="2"/>
              </w:numPr>
              <w:spacing w:line="360" w:lineRule="auto"/>
              <w:jc w:val="center"/>
              <w:rPr>
                <w:rFonts w:ascii="宋体" w:hAnsi="宋体" w:eastAsia="宋体"/>
                <w:szCs w:val="21"/>
              </w:rPr>
            </w:pPr>
          </w:p>
        </w:tc>
        <w:tc>
          <w:tcPr>
            <w:tcW w:w="749" w:type="pct"/>
            <w:vMerge w:val="continue"/>
            <w:vAlign w:val="center"/>
          </w:tcPr>
          <w:p>
            <w:pPr>
              <w:jc w:val="center"/>
              <w:rPr>
                <w:rFonts w:ascii="宋体" w:hAnsi="宋体" w:eastAsia="宋体" w:cs="宋体"/>
                <w:kern w:val="0"/>
                <w:szCs w:val="21"/>
              </w:rPr>
            </w:pPr>
          </w:p>
        </w:tc>
        <w:tc>
          <w:tcPr>
            <w:tcW w:w="3772" w:type="pct"/>
          </w:tcPr>
          <w:p>
            <w:pPr>
              <w:rPr>
                <w:rFonts w:ascii="宋体" w:hAnsi="宋体" w:eastAsia="宋体" w:cs="宋体"/>
                <w:color w:val="000000"/>
                <w:kern w:val="0"/>
                <w:szCs w:val="21"/>
              </w:rPr>
            </w:pPr>
            <w:r>
              <w:rPr>
                <w:rFonts w:hint="eastAsia" w:ascii="宋体" w:hAnsi="宋体" w:eastAsia="宋体"/>
                <w:szCs w:val="21"/>
              </w:rPr>
              <w:t>▲若为同构PACS系统，会诊提交端可在诊间报告工作站直接提交会诊申请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vAlign w:val="center"/>
          </w:tcPr>
          <w:p>
            <w:pPr>
              <w:numPr>
                <w:ilvl w:val="0"/>
                <w:numId w:val="2"/>
              </w:numPr>
              <w:spacing w:line="360" w:lineRule="auto"/>
              <w:jc w:val="center"/>
              <w:rPr>
                <w:rFonts w:ascii="宋体" w:hAnsi="宋体" w:eastAsia="宋体"/>
                <w:szCs w:val="21"/>
              </w:rPr>
            </w:pPr>
          </w:p>
        </w:tc>
        <w:tc>
          <w:tcPr>
            <w:tcW w:w="749" w:type="pct"/>
            <w:vMerge w:val="continue"/>
            <w:vAlign w:val="center"/>
          </w:tcPr>
          <w:p>
            <w:pPr>
              <w:jc w:val="center"/>
              <w:rPr>
                <w:rFonts w:ascii="宋体" w:hAnsi="宋体" w:eastAsia="宋体" w:cs="宋体"/>
                <w:kern w:val="0"/>
                <w:szCs w:val="21"/>
              </w:rPr>
            </w:pPr>
          </w:p>
        </w:tc>
        <w:tc>
          <w:tcPr>
            <w:tcW w:w="3772" w:type="pct"/>
          </w:tcPr>
          <w:p>
            <w:pPr>
              <w:rPr>
                <w:rFonts w:ascii="宋体" w:hAnsi="宋体" w:eastAsia="宋体" w:cs="宋体"/>
                <w:color w:val="000000"/>
                <w:kern w:val="0"/>
                <w:szCs w:val="21"/>
              </w:rPr>
            </w:pPr>
            <w:r>
              <w:rPr>
                <w:rFonts w:hint="eastAsia" w:ascii="宋体" w:hAnsi="宋体" w:eastAsia="宋体"/>
                <w:szCs w:val="21"/>
              </w:rPr>
              <w:t>▲若为同构PACS系统，会诊处理端可在诊间报告工作站直接书写会诊意见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vAlign w:val="center"/>
          </w:tcPr>
          <w:p>
            <w:pPr>
              <w:numPr>
                <w:ilvl w:val="0"/>
                <w:numId w:val="2"/>
              </w:numPr>
              <w:spacing w:line="360" w:lineRule="auto"/>
              <w:jc w:val="center"/>
              <w:rPr>
                <w:rFonts w:ascii="宋体" w:hAnsi="宋体" w:eastAsia="宋体"/>
                <w:szCs w:val="21"/>
              </w:rPr>
            </w:pPr>
          </w:p>
        </w:tc>
        <w:tc>
          <w:tcPr>
            <w:tcW w:w="749" w:type="pct"/>
            <w:vMerge w:val="continue"/>
            <w:vAlign w:val="center"/>
          </w:tcPr>
          <w:p>
            <w:pPr>
              <w:jc w:val="center"/>
              <w:rPr>
                <w:rFonts w:ascii="宋体" w:hAnsi="宋体" w:eastAsia="宋体" w:cs="宋体"/>
                <w:kern w:val="0"/>
                <w:szCs w:val="21"/>
              </w:rPr>
            </w:pPr>
          </w:p>
        </w:tc>
        <w:tc>
          <w:tcPr>
            <w:tcW w:w="3772" w:type="pct"/>
          </w:tcPr>
          <w:p>
            <w:pPr>
              <w:rPr>
                <w:rFonts w:ascii="宋体" w:hAnsi="宋体" w:eastAsia="宋体" w:cs="宋体"/>
                <w:color w:val="000000"/>
                <w:kern w:val="0"/>
                <w:szCs w:val="21"/>
              </w:rPr>
            </w:pPr>
            <w:r>
              <w:rPr>
                <w:rFonts w:hint="eastAsia" w:ascii="宋体" w:hAnsi="宋体" w:eastAsia="宋体"/>
                <w:szCs w:val="21"/>
              </w:rPr>
              <w:t>会诊申请状态的变更通过平台实时同步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vAlign w:val="center"/>
          </w:tcPr>
          <w:p>
            <w:pPr>
              <w:numPr>
                <w:ilvl w:val="0"/>
                <w:numId w:val="2"/>
              </w:numPr>
              <w:spacing w:line="360" w:lineRule="auto"/>
              <w:jc w:val="center"/>
              <w:rPr>
                <w:rFonts w:ascii="宋体" w:hAnsi="宋体" w:eastAsia="宋体"/>
                <w:szCs w:val="21"/>
              </w:rPr>
            </w:pPr>
          </w:p>
        </w:tc>
        <w:tc>
          <w:tcPr>
            <w:tcW w:w="749" w:type="pct"/>
            <w:vMerge w:val="continue"/>
            <w:vAlign w:val="center"/>
          </w:tcPr>
          <w:p>
            <w:pPr>
              <w:jc w:val="center"/>
              <w:rPr>
                <w:rFonts w:ascii="宋体" w:hAnsi="宋体" w:eastAsia="宋体" w:cs="宋体"/>
                <w:kern w:val="0"/>
                <w:szCs w:val="21"/>
              </w:rPr>
            </w:pPr>
          </w:p>
        </w:tc>
        <w:tc>
          <w:tcPr>
            <w:tcW w:w="3772" w:type="pct"/>
          </w:tcPr>
          <w:p>
            <w:pPr>
              <w:rPr>
                <w:rFonts w:ascii="宋体" w:hAnsi="宋体" w:eastAsia="宋体" w:cs="宋体"/>
                <w:color w:val="000000"/>
                <w:kern w:val="0"/>
                <w:szCs w:val="21"/>
              </w:rPr>
            </w:pPr>
            <w:r>
              <w:rPr>
                <w:rFonts w:hint="eastAsia" w:ascii="宋体" w:hAnsi="宋体" w:eastAsia="宋体"/>
                <w:szCs w:val="21"/>
              </w:rPr>
              <w:t>会诊检查数据发生变更通过平台实时同步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vAlign w:val="center"/>
          </w:tcPr>
          <w:p>
            <w:pPr>
              <w:numPr>
                <w:ilvl w:val="0"/>
                <w:numId w:val="2"/>
              </w:numPr>
              <w:spacing w:line="360" w:lineRule="auto"/>
              <w:jc w:val="center"/>
              <w:rPr>
                <w:rFonts w:ascii="宋体" w:hAnsi="宋体" w:eastAsia="宋体"/>
                <w:szCs w:val="21"/>
              </w:rPr>
            </w:pPr>
          </w:p>
        </w:tc>
        <w:tc>
          <w:tcPr>
            <w:tcW w:w="749" w:type="pct"/>
            <w:vMerge w:val="continue"/>
            <w:vAlign w:val="center"/>
          </w:tcPr>
          <w:p>
            <w:pPr>
              <w:jc w:val="center"/>
              <w:rPr>
                <w:rFonts w:ascii="宋体" w:hAnsi="宋体" w:eastAsia="宋体" w:cs="宋体"/>
                <w:kern w:val="0"/>
                <w:szCs w:val="21"/>
              </w:rPr>
            </w:pPr>
          </w:p>
        </w:tc>
        <w:tc>
          <w:tcPr>
            <w:tcW w:w="3772" w:type="pct"/>
          </w:tcPr>
          <w:p>
            <w:pPr>
              <w:rPr>
                <w:rFonts w:ascii="宋体" w:hAnsi="宋体" w:eastAsia="宋体" w:cs="宋体"/>
                <w:color w:val="000000"/>
                <w:kern w:val="0"/>
                <w:szCs w:val="21"/>
              </w:rPr>
            </w:pPr>
            <w:r>
              <w:rPr>
                <w:rFonts w:hint="eastAsia" w:ascii="宋体" w:hAnsi="宋体" w:eastAsia="宋体"/>
                <w:szCs w:val="21"/>
              </w:rPr>
              <w:t>支持取消区域会诊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vAlign w:val="center"/>
          </w:tcPr>
          <w:p>
            <w:pPr>
              <w:numPr>
                <w:ilvl w:val="0"/>
                <w:numId w:val="2"/>
              </w:numPr>
              <w:spacing w:line="360" w:lineRule="auto"/>
              <w:jc w:val="center"/>
              <w:rPr>
                <w:rFonts w:ascii="宋体" w:hAnsi="宋体" w:eastAsia="宋体"/>
                <w:szCs w:val="21"/>
              </w:rPr>
            </w:pPr>
          </w:p>
        </w:tc>
        <w:tc>
          <w:tcPr>
            <w:tcW w:w="749" w:type="pct"/>
            <w:vMerge w:val="restart"/>
            <w:vAlign w:val="center"/>
          </w:tcPr>
          <w:p>
            <w:pPr>
              <w:jc w:val="center"/>
              <w:rPr>
                <w:rFonts w:ascii="宋体" w:hAnsi="宋体" w:eastAsia="宋体" w:cs="宋体"/>
                <w:kern w:val="0"/>
                <w:szCs w:val="21"/>
              </w:rPr>
            </w:pPr>
            <w:r>
              <w:rPr>
                <w:rFonts w:hint="eastAsia" w:ascii="宋体" w:hAnsi="宋体" w:eastAsia="宋体" w:cs="宋体"/>
                <w:kern w:val="0"/>
                <w:szCs w:val="21"/>
              </w:rPr>
              <w:t>区域影像协作</w:t>
            </w:r>
          </w:p>
        </w:tc>
        <w:tc>
          <w:tcPr>
            <w:tcW w:w="3772" w:type="pct"/>
          </w:tcPr>
          <w:p>
            <w:pPr>
              <w:rPr>
                <w:rFonts w:ascii="宋体" w:hAnsi="宋体" w:eastAsia="宋体"/>
                <w:szCs w:val="21"/>
              </w:rPr>
            </w:pPr>
            <w:r>
              <w:rPr>
                <w:rFonts w:hint="eastAsia" w:ascii="宋体" w:hAnsi="宋体" w:eastAsia="宋体"/>
                <w:szCs w:val="21"/>
              </w:rPr>
              <w:t>把接入平台的诸多医疗机构的影像业务连接起来，实现协同作业，例如大医院帮小规模医院诊断、审核；区域一体化亚专科分工；急诊、夜班、疑难审核的院外协作等。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vAlign w:val="center"/>
          </w:tcPr>
          <w:p>
            <w:pPr>
              <w:numPr>
                <w:ilvl w:val="0"/>
                <w:numId w:val="2"/>
              </w:numPr>
              <w:spacing w:line="360" w:lineRule="auto"/>
              <w:jc w:val="center"/>
              <w:rPr>
                <w:rFonts w:ascii="宋体" w:hAnsi="宋体" w:eastAsia="宋体"/>
                <w:szCs w:val="21"/>
              </w:rPr>
            </w:pPr>
          </w:p>
        </w:tc>
        <w:tc>
          <w:tcPr>
            <w:tcW w:w="749" w:type="pct"/>
            <w:vMerge w:val="continue"/>
            <w:vAlign w:val="center"/>
          </w:tcPr>
          <w:p>
            <w:pPr>
              <w:jc w:val="center"/>
              <w:rPr>
                <w:rFonts w:ascii="宋体" w:hAnsi="宋体" w:eastAsia="宋体" w:cs="宋体"/>
                <w:kern w:val="0"/>
                <w:szCs w:val="21"/>
              </w:rPr>
            </w:pPr>
          </w:p>
        </w:tc>
        <w:tc>
          <w:tcPr>
            <w:tcW w:w="3772" w:type="pct"/>
          </w:tcPr>
          <w:p>
            <w:pPr>
              <w:rPr>
                <w:rFonts w:ascii="宋体" w:hAnsi="宋体" w:eastAsia="宋体"/>
                <w:szCs w:val="21"/>
              </w:rPr>
            </w:pPr>
            <w:r>
              <w:rPr>
                <w:rFonts w:hint="eastAsia" w:ascii="宋体" w:hAnsi="宋体" w:eastAsia="宋体"/>
                <w:szCs w:val="21"/>
              </w:rPr>
              <w:t>▲若为同构PACS系统，支持将区域协作任务进行诊间融合，在医院现有放射报告工作站即可调阅协作医院的检查信息、影像、书写报告并回传诊断结果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vAlign w:val="center"/>
          </w:tcPr>
          <w:p>
            <w:pPr>
              <w:numPr>
                <w:ilvl w:val="0"/>
                <w:numId w:val="2"/>
              </w:numPr>
              <w:spacing w:line="360" w:lineRule="auto"/>
              <w:jc w:val="center"/>
              <w:rPr>
                <w:rFonts w:ascii="宋体" w:hAnsi="宋体" w:eastAsia="宋体"/>
                <w:szCs w:val="21"/>
              </w:rPr>
            </w:pPr>
          </w:p>
        </w:tc>
        <w:tc>
          <w:tcPr>
            <w:tcW w:w="749" w:type="pct"/>
            <w:vMerge w:val="continue"/>
            <w:vAlign w:val="center"/>
          </w:tcPr>
          <w:p>
            <w:pPr>
              <w:jc w:val="center"/>
              <w:rPr>
                <w:rFonts w:ascii="宋体" w:hAnsi="宋体" w:eastAsia="宋体" w:cs="宋体"/>
                <w:kern w:val="0"/>
                <w:szCs w:val="21"/>
              </w:rPr>
            </w:pPr>
          </w:p>
        </w:tc>
        <w:tc>
          <w:tcPr>
            <w:tcW w:w="3772" w:type="pct"/>
          </w:tcPr>
          <w:p>
            <w:pPr>
              <w:rPr>
                <w:rFonts w:ascii="宋体" w:hAnsi="宋体" w:eastAsia="宋体"/>
                <w:szCs w:val="21"/>
              </w:rPr>
            </w:pPr>
            <w:r>
              <w:rPr>
                <w:rFonts w:hint="eastAsia" w:ascii="宋体" w:hAnsi="宋体" w:eastAsia="宋体"/>
                <w:szCs w:val="21"/>
              </w:rPr>
              <w:t>支持提交方主动推送书写/审核报告请求、图像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vAlign w:val="center"/>
          </w:tcPr>
          <w:p>
            <w:pPr>
              <w:numPr>
                <w:ilvl w:val="0"/>
                <w:numId w:val="2"/>
              </w:numPr>
              <w:spacing w:line="360" w:lineRule="auto"/>
              <w:jc w:val="center"/>
              <w:rPr>
                <w:rFonts w:ascii="宋体" w:hAnsi="宋体" w:eastAsia="宋体"/>
                <w:szCs w:val="21"/>
              </w:rPr>
            </w:pPr>
          </w:p>
        </w:tc>
        <w:tc>
          <w:tcPr>
            <w:tcW w:w="749" w:type="pct"/>
            <w:vMerge w:val="continue"/>
            <w:vAlign w:val="center"/>
          </w:tcPr>
          <w:p>
            <w:pPr>
              <w:jc w:val="center"/>
              <w:rPr>
                <w:rFonts w:ascii="宋体" w:hAnsi="宋体" w:eastAsia="宋体" w:cs="宋体"/>
                <w:kern w:val="0"/>
                <w:szCs w:val="21"/>
              </w:rPr>
            </w:pPr>
          </w:p>
        </w:tc>
        <w:tc>
          <w:tcPr>
            <w:tcW w:w="3772" w:type="pct"/>
          </w:tcPr>
          <w:p>
            <w:pPr>
              <w:rPr>
                <w:rFonts w:ascii="宋体" w:hAnsi="宋体" w:eastAsia="宋体"/>
                <w:szCs w:val="21"/>
              </w:rPr>
            </w:pPr>
            <w:r>
              <w:rPr>
                <w:rFonts w:hint="eastAsia" w:ascii="宋体" w:hAnsi="宋体" w:eastAsia="宋体"/>
                <w:szCs w:val="21"/>
              </w:rPr>
              <w:t>推送模式支持提交方将影像发送至平台数据中心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vAlign w:val="center"/>
          </w:tcPr>
          <w:p>
            <w:pPr>
              <w:numPr>
                <w:ilvl w:val="0"/>
                <w:numId w:val="2"/>
              </w:numPr>
              <w:spacing w:line="360" w:lineRule="auto"/>
              <w:jc w:val="center"/>
              <w:rPr>
                <w:rFonts w:ascii="宋体" w:hAnsi="宋体" w:eastAsia="宋体"/>
                <w:szCs w:val="21"/>
              </w:rPr>
            </w:pPr>
          </w:p>
        </w:tc>
        <w:tc>
          <w:tcPr>
            <w:tcW w:w="749" w:type="pct"/>
            <w:vMerge w:val="continue"/>
            <w:vAlign w:val="center"/>
          </w:tcPr>
          <w:p>
            <w:pPr>
              <w:jc w:val="center"/>
              <w:rPr>
                <w:rFonts w:ascii="宋体" w:hAnsi="宋体" w:eastAsia="宋体" w:cs="宋体"/>
                <w:kern w:val="0"/>
                <w:szCs w:val="21"/>
              </w:rPr>
            </w:pPr>
          </w:p>
        </w:tc>
        <w:tc>
          <w:tcPr>
            <w:tcW w:w="3772" w:type="pct"/>
          </w:tcPr>
          <w:p>
            <w:pPr>
              <w:rPr>
                <w:rFonts w:ascii="宋体" w:hAnsi="宋体" w:eastAsia="宋体"/>
                <w:szCs w:val="21"/>
              </w:rPr>
            </w:pPr>
            <w:r>
              <w:rPr>
                <w:rFonts w:hint="eastAsia" w:ascii="宋体" w:hAnsi="宋体" w:eastAsia="宋体"/>
                <w:szCs w:val="21"/>
              </w:rPr>
              <w:t>支持处理方自主查询查询协作任务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vAlign w:val="center"/>
          </w:tcPr>
          <w:p>
            <w:pPr>
              <w:numPr>
                <w:ilvl w:val="0"/>
                <w:numId w:val="2"/>
              </w:numPr>
              <w:spacing w:line="360" w:lineRule="auto"/>
              <w:jc w:val="center"/>
              <w:rPr>
                <w:rFonts w:ascii="宋体" w:hAnsi="宋体" w:eastAsia="宋体"/>
                <w:szCs w:val="21"/>
              </w:rPr>
            </w:pPr>
          </w:p>
        </w:tc>
        <w:tc>
          <w:tcPr>
            <w:tcW w:w="749" w:type="pct"/>
            <w:vMerge w:val="continue"/>
            <w:vAlign w:val="center"/>
          </w:tcPr>
          <w:p>
            <w:pPr>
              <w:jc w:val="center"/>
              <w:rPr>
                <w:rFonts w:ascii="宋体" w:hAnsi="宋体" w:eastAsia="宋体" w:cs="宋体"/>
                <w:kern w:val="0"/>
                <w:szCs w:val="21"/>
              </w:rPr>
            </w:pPr>
          </w:p>
        </w:tc>
        <w:tc>
          <w:tcPr>
            <w:tcW w:w="3772" w:type="pct"/>
          </w:tcPr>
          <w:p>
            <w:pPr>
              <w:rPr>
                <w:rFonts w:ascii="宋体" w:hAnsi="宋体" w:eastAsia="宋体"/>
                <w:szCs w:val="21"/>
              </w:rPr>
            </w:pPr>
            <w:r>
              <w:rPr>
                <w:rFonts w:hint="eastAsia" w:ascii="宋体" w:hAnsi="宋体" w:eastAsia="宋体"/>
                <w:szCs w:val="21"/>
              </w:rPr>
              <w:t>主动查询方式处理平台上的书写和审核任务，能够实时查询区域范围内所有检查信息，并实时书写和审核报告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vAlign w:val="center"/>
          </w:tcPr>
          <w:p>
            <w:pPr>
              <w:numPr>
                <w:ilvl w:val="0"/>
                <w:numId w:val="2"/>
              </w:numPr>
              <w:spacing w:line="360" w:lineRule="auto"/>
              <w:jc w:val="center"/>
              <w:rPr>
                <w:rFonts w:ascii="宋体" w:hAnsi="宋体" w:eastAsia="宋体"/>
                <w:szCs w:val="21"/>
              </w:rPr>
            </w:pPr>
          </w:p>
        </w:tc>
        <w:tc>
          <w:tcPr>
            <w:tcW w:w="749" w:type="pct"/>
            <w:vMerge w:val="continue"/>
            <w:vAlign w:val="center"/>
          </w:tcPr>
          <w:p>
            <w:pPr>
              <w:jc w:val="center"/>
              <w:rPr>
                <w:rFonts w:ascii="宋体" w:hAnsi="宋体" w:eastAsia="宋体" w:cs="宋体"/>
                <w:kern w:val="0"/>
                <w:szCs w:val="21"/>
              </w:rPr>
            </w:pPr>
          </w:p>
        </w:tc>
        <w:tc>
          <w:tcPr>
            <w:tcW w:w="3772" w:type="pct"/>
          </w:tcPr>
          <w:p>
            <w:pPr>
              <w:rPr>
                <w:rFonts w:ascii="宋体" w:hAnsi="宋体" w:eastAsia="宋体"/>
                <w:szCs w:val="21"/>
              </w:rPr>
            </w:pPr>
            <w:r>
              <w:rPr>
                <w:rFonts w:hint="eastAsia" w:ascii="宋体" w:hAnsi="宋体" w:eastAsia="宋体"/>
                <w:szCs w:val="21"/>
              </w:rPr>
              <w:t>查询模式支持处理方直接访问提交方WADO服务，获取图像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vAlign w:val="center"/>
          </w:tcPr>
          <w:p>
            <w:pPr>
              <w:numPr>
                <w:ilvl w:val="0"/>
                <w:numId w:val="2"/>
              </w:numPr>
              <w:spacing w:line="360" w:lineRule="auto"/>
              <w:jc w:val="center"/>
              <w:rPr>
                <w:rFonts w:ascii="宋体" w:hAnsi="宋体" w:eastAsia="宋体"/>
                <w:szCs w:val="21"/>
              </w:rPr>
            </w:pPr>
          </w:p>
        </w:tc>
        <w:tc>
          <w:tcPr>
            <w:tcW w:w="749" w:type="pct"/>
            <w:vMerge w:val="continue"/>
            <w:vAlign w:val="center"/>
          </w:tcPr>
          <w:p>
            <w:pPr>
              <w:jc w:val="center"/>
              <w:rPr>
                <w:rFonts w:ascii="宋体" w:hAnsi="宋体" w:eastAsia="宋体" w:cs="宋体"/>
                <w:kern w:val="0"/>
                <w:szCs w:val="21"/>
              </w:rPr>
            </w:pPr>
          </w:p>
        </w:tc>
        <w:tc>
          <w:tcPr>
            <w:tcW w:w="3772" w:type="pct"/>
          </w:tcPr>
          <w:p>
            <w:pPr>
              <w:rPr>
                <w:rFonts w:ascii="宋体" w:hAnsi="宋体" w:eastAsia="宋体"/>
                <w:szCs w:val="21"/>
              </w:rPr>
            </w:pPr>
            <w:r>
              <w:rPr>
                <w:rFonts w:hint="eastAsia" w:ascii="宋体" w:hAnsi="宋体" w:eastAsia="宋体"/>
                <w:szCs w:val="21"/>
              </w:rPr>
              <w:t>支持预取模式，即处理方查询任务后，选定若干任务并点击预取，将协作所需的所有信息包括图像下载到平台数据中心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vAlign w:val="center"/>
          </w:tcPr>
          <w:p>
            <w:pPr>
              <w:numPr>
                <w:ilvl w:val="0"/>
                <w:numId w:val="2"/>
              </w:numPr>
              <w:spacing w:line="360" w:lineRule="auto"/>
              <w:jc w:val="center"/>
              <w:rPr>
                <w:rFonts w:ascii="宋体" w:hAnsi="宋体" w:eastAsia="宋体"/>
                <w:szCs w:val="21"/>
              </w:rPr>
            </w:pPr>
          </w:p>
        </w:tc>
        <w:tc>
          <w:tcPr>
            <w:tcW w:w="749" w:type="pct"/>
            <w:vMerge w:val="continue"/>
            <w:vAlign w:val="center"/>
          </w:tcPr>
          <w:p>
            <w:pPr>
              <w:jc w:val="center"/>
              <w:rPr>
                <w:rFonts w:ascii="宋体" w:hAnsi="宋体" w:eastAsia="宋体" w:cs="宋体"/>
                <w:kern w:val="0"/>
                <w:szCs w:val="21"/>
              </w:rPr>
            </w:pPr>
          </w:p>
        </w:tc>
        <w:tc>
          <w:tcPr>
            <w:tcW w:w="3772" w:type="pct"/>
          </w:tcPr>
          <w:p>
            <w:pPr>
              <w:rPr>
                <w:rFonts w:ascii="宋体" w:hAnsi="宋体" w:eastAsia="宋体"/>
                <w:szCs w:val="21"/>
              </w:rPr>
            </w:pPr>
            <w:r>
              <w:rPr>
                <w:rFonts w:hint="eastAsia" w:ascii="宋体" w:hAnsi="宋体" w:eastAsia="宋体"/>
                <w:szCs w:val="21"/>
              </w:rPr>
              <w:t>▲若为同构PACS系统，会提交端可在诊间报告工作站直接提交报告书写/审核申请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vAlign w:val="center"/>
          </w:tcPr>
          <w:p>
            <w:pPr>
              <w:numPr>
                <w:ilvl w:val="0"/>
                <w:numId w:val="2"/>
              </w:numPr>
              <w:spacing w:line="360" w:lineRule="auto"/>
              <w:jc w:val="center"/>
              <w:rPr>
                <w:rFonts w:ascii="宋体" w:hAnsi="宋体" w:eastAsia="宋体"/>
                <w:szCs w:val="21"/>
              </w:rPr>
            </w:pPr>
          </w:p>
        </w:tc>
        <w:tc>
          <w:tcPr>
            <w:tcW w:w="749" w:type="pct"/>
            <w:vMerge w:val="continue"/>
            <w:vAlign w:val="center"/>
          </w:tcPr>
          <w:p>
            <w:pPr>
              <w:jc w:val="center"/>
              <w:rPr>
                <w:rFonts w:ascii="宋体" w:hAnsi="宋体" w:eastAsia="宋体" w:cs="宋体"/>
                <w:kern w:val="0"/>
                <w:szCs w:val="21"/>
              </w:rPr>
            </w:pPr>
          </w:p>
        </w:tc>
        <w:tc>
          <w:tcPr>
            <w:tcW w:w="3772" w:type="pct"/>
          </w:tcPr>
          <w:p>
            <w:pPr>
              <w:rPr>
                <w:rFonts w:ascii="宋体" w:hAnsi="宋体" w:eastAsia="宋体"/>
                <w:szCs w:val="21"/>
              </w:rPr>
            </w:pPr>
            <w:r>
              <w:rPr>
                <w:rFonts w:hint="eastAsia" w:ascii="宋体" w:hAnsi="宋体" w:eastAsia="宋体"/>
                <w:szCs w:val="21"/>
              </w:rPr>
              <w:t>▲若为同构PACS系统，会处理端可在诊间报告工作站直接书写/审核报告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vAlign w:val="center"/>
          </w:tcPr>
          <w:p>
            <w:pPr>
              <w:numPr>
                <w:ilvl w:val="0"/>
                <w:numId w:val="2"/>
              </w:numPr>
              <w:spacing w:line="360" w:lineRule="auto"/>
              <w:jc w:val="center"/>
              <w:rPr>
                <w:rFonts w:ascii="宋体" w:hAnsi="宋体" w:eastAsia="宋体"/>
                <w:szCs w:val="21"/>
              </w:rPr>
            </w:pPr>
          </w:p>
        </w:tc>
        <w:tc>
          <w:tcPr>
            <w:tcW w:w="749" w:type="pct"/>
            <w:vMerge w:val="continue"/>
            <w:vAlign w:val="center"/>
          </w:tcPr>
          <w:p>
            <w:pPr>
              <w:jc w:val="center"/>
              <w:rPr>
                <w:rFonts w:ascii="宋体" w:hAnsi="宋体" w:eastAsia="宋体" w:cs="宋体"/>
                <w:kern w:val="0"/>
                <w:szCs w:val="21"/>
              </w:rPr>
            </w:pPr>
          </w:p>
        </w:tc>
        <w:tc>
          <w:tcPr>
            <w:tcW w:w="3772" w:type="pct"/>
          </w:tcPr>
          <w:p>
            <w:pPr>
              <w:rPr>
                <w:rFonts w:ascii="宋体" w:hAnsi="宋体" w:eastAsia="宋体"/>
                <w:szCs w:val="21"/>
              </w:rPr>
            </w:pPr>
            <w:r>
              <w:rPr>
                <w:rFonts w:hint="eastAsia" w:ascii="宋体" w:hAnsi="宋体" w:eastAsia="宋体"/>
                <w:szCs w:val="21"/>
              </w:rPr>
              <w:t>协作申请状态的变更通过平台实时同步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vAlign w:val="center"/>
          </w:tcPr>
          <w:p>
            <w:pPr>
              <w:numPr>
                <w:ilvl w:val="0"/>
                <w:numId w:val="2"/>
              </w:numPr>
              <w:spacing w:line="360" w:lineRule="auto"/>
              <w:jc w:val="center"/>
              <w:rPr>
                <w:rFonts w:ascii="宋体" w:hAnsi="宋体" w:eastAsia="宋体"/>
                <w:szCs w:val="21"/>
              </w:rPr>
            </w:pPr>
          </w:p>
        </w:tc>
        <w:tc>
          <w:tcPr>
            <w:tcW w:w="749" w:type="pct"/>
            <w:vMerge w:val="continue"/>
            <w:vAlign w:val="center"/>
          </w:tcPr>
          <w:p>
            <w:pPr>
              <w:jc w:val="center"/>
              <w:rPr>
                <w:rFonts w:ascii="宋体" w:hAnsi="宋体" w:eastAsia="宋体" w:cs="宋体"/>
                <w:kern w:val="0"/>
                <w:szCs w:val="21"/>
              </w:rPr>
            </w:pPr>
          </w:p>
        </w:tc>
        <w:tc>
          <w:tcPr>
            <w:tcW w:w="3772" w:type="pct"/>
          </w:tcPr>
          <w:p>
            <w:pPr>
              <w:rPr>
                <w:rFonts w:ascii="宋体" w:hAnsi="宋体" w:eastAsia="宋体"/>
                <w:szCs w:val="21"/>
              </w:rPr>
            </w:pPr>
            <w:r>
              <w:rPr>
                <w:rFonts w:hint="eastAsia" w:ascii="宋体" w:hAnsi="宋体" w:eastAsia="宋体"/>
                <w:szCs w:val="21"/>
              </w:rPr>
              <w:t>检查数据发生变更通过平台实时同步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vAlign w:val="center"/>
          </w:tcPr>
          <w:p>
            <w:pPr>
              <w:numPr>
                <w:ilvl w:val="0"/>
                <w:numId w:val="2"/>
              </w:numPr>
              <w:spacing w:line="360" w:lineRule="auto"/>
              <w:jc w:val="center"/>
              <w:rPr>
                <w:rFonts w:ascii="宋体" w:hAnsi="宋体" w:eastAsia="宋体"/>
                <w:szCs w:val="21"/>
              </w:rPr>
            </w:pPr>
          </w:p>
        </w:tc>
        <w:tc>
          <w:tcPr>
            <w:tcW w:w="749" w:type="pct"/>
            <w:vMerge w:val="continue"/>
            <w:vAlign w:val="center"/>
          </w:tcPr>
          <w:p>
            <w:pPr>
              <w:jc w:val="center"/>
              <w:rPr>
                <w:rFonts w:ascii="宋体" w:hAnsi="宋体" w:eastAsia="宋体" w:cs="宋体"/>
                <w:kern w:val="0"/>
                <w:szCs w:val="21"/>
              </w:rPr>
            </w:pPr>
          </w:p>
        </w:tc>
        <w:tc>
          <w:tcPr>
            <w:tcW w:w="3772" w:type="pct"/>
          </w:tcPr>
          <w:p>
            <w:pPr>
              <w:rPr>
                <w:rFonts w:ascii="宋体" w:hAnsi="宋体" w:eastAsia="宋体"/>
                <w:szCs w:val="21"/>
              </w:rPr>
            </w:pPr>
            <w:r>
              <w:rPr>
                <w:rFonts w:hint="eastAsia" w:ascii="宋体" w:hAnsi="宋体" w:eastAsia="宋体"/>
                <w:szCs w:val="21"/>
              </w:rPr>
              <w:t>支持取消区域书写/审核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vAlign w:val="center"/>
          </w:tcPr>
          <w:p>
            <w:pPr>
              <w:numPr>
                <w:ilvl w:val="0"/>
                <w:numId w:val="2"/>
              </w:numPr>
              <w:spacing w:line="360" w:lineRule="auto"/>
              <w:jc w:val="center"/>
              <w:rPr>
                <w:rFonts w:ascii="宋体" w:hAnsi="宋体" w:eastAsia="宋体"/>
                <w:szCs w:val="21"/>
              </w:rPr>
            </w:pPr>
          </w:p>
        </w:tc>
        <w:tc>
          <w:tcPr>
            <w:tcW w:w="749" w:type="pct"/>
            <w:vMerge w:val="continue"/>
            <w:vAlign w:val="center"/>
          </w:tcPr>
          <w:p>
            <w:pPr>
              <w:jc w:val="center"/>
              <w:rPr>
                <w:rFonts w:ascii="宋体" w:hAnsi="宋体" w:eastAsia="宋体" w:cs="宋体"/>
                <w:kern w:val="0"/>
                <w:szCs w:val="21"/>
              </w:rPr>
            </w:pPr>
          </w:p>
        </w:tc>
        <w:tc>
          <w:tcPr>
            <w:tcW w:w="3772" w:type="pct"/>
          </w:tcPr>
          <w:p>
            <w:pPr>
              <w:rPr>
                <w:rFonts w:ascii="宋体" w:hAnsi="宋体" w:eastAsia="宋体"/>
                <w:szCs w:val="21"/>
              </w:rPr>
            </w:pPr>
            <w:r>
              <w:rPr>
                <w:rFonts w:hint="eastAsia" w:ascii="宋体" w:hAnsi="宋体" w:eastAsia="宋体"/>
                <w:szCs w:val="21"/>
              </w:rPr>
              <w:t>支持多个医院的医生同时处理平台协作数据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vAlign w:val="center"/>
          </w:tcPr>
          <w:p>
            <w:pPr>
              <w:numPr>
                <w:ilvl w:val="0"/>
                <w:numId w:val="2"/>
              </w:numPr>
              <w:spacing w:line="360" w:lineRule="auto"/>
              <w:jc w:val="center"/>
              <w:rPr>
                <w:rFonts w:ascii="宋体" w:hAnsi="宋体" w:eastAsia="宋体"/>
                <w:szCs w:val="21"/>
              </w:rPr>
            </w:pPr>
          </w:p>
        </w:tc>
        <w:tc>
          <w:tcPr>
            <w:tcW w:w="749" w:type="pct"/>
            <w:vMerge w:val="continue"/>
            <w:vAlign w:val="center"/>
          </w:tcPr>
          <w:p>
            <w:pPr>
              <w:jc w:val="center"/>
              <w:rPr>
                <w:rFonts w:ascii="宋体" w:hAnsi="宋体" w:eastAsia="宋体" w:cs="宋体"/>
                <w:kern w:val="0"/>
                <w:szCs w:val="21"/>
              </w:rPr>
            </w:pPr>
          </w:p>
        </w:tc>
        <w:tc>
          <w:tcPr>
            <w:tcW w:w="3772" w:type="pct"/>
          </w:tcPr>
          <w:p>
            <w:pPr>
              <w:rPr>
                <w:rFonts w:ascii="宋体" w:hAnsi="宋体" w:eastAsia="宋体"/>
                <w:szCs w:val="21"/>
              </w:rPr>
            </w:pPr>
            <w:r>
              <w:rPr>
                <w:rFonts w:hint="eastAsia" w:ascii="宋体" w:hAnsi="宋体" w:eastAsia="宋体"/>
                <w:szCs w:val="21"/>
              </w:rPr>
              <w:t>▲当多个医院的医生同时处理平台同一书写/审核协作任务时，支持冲突提示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vAlign w:val="center"/>
          </w:tcPr>
          <w:p>
            <w:pPr>
              <w:numPr>
                <w:ilvl w:val="0"/>
                <w:numId w:val="2"/>
              </w:numPr>
              <w:spacing w:line="360" w:lineRule="auto"/>
              <w:jc w:val="center"/>
              <w:rPr>
                <w:rFonts w:ascii="宋体" w:hAnsi="宋体" w:eastAsia="宋体"/>
                <w:szCs w:val="21"/>
              </w:rPr>
            </w:pPr>
          </w:p>
        </w:tc>
        <w:tc>
          <w:tcPr>
            <w:tcW w:w="749" w:type="pct"/>
            <w:vMerge w:val="continue"/>
            <w:vAlign w:val="center"/>
          </w:tcPr>
          <w:p>
            <w:pPr>
              <w:jc w:val="center"/>
              <w:rPr>
                <w:rFonts w:ascii="宋体" w:hAnsi="宋体" w:eastAsia="宋体" w:cs="宋体"/>
                <w:kern w:val="0"/>
                <w:szCs w:val="21"/>
              </w:rPr>
            </w:pPr>
          </w:p>
        </w:tc>
        <w:tc>
          <w:tcPr>
            <w:tcW w:w="3772" w:type="pct"/>
          </w:tcPr>
          <w:p>
            <w:pPr>
              <w:rPr>
                <w:rFonts w:ascii="宋体" w:hAnsi="宋体" w:eastAsia="宋体"/>
                <w:szCs w:val="21"/>
              </w:rPr>
            </w:pPr>
            <w:r>
              <w:rPr>
                <w:rFonts w:hint="eastAsia" w:ascii="宋体" w:hAnsi="宋体" w:eastAsia="宋体"/>
                <w:szCs w:val="21"/>
              </w:rPr>
              <w:t>支持手工提交会诊，以及上级医生手工查询并处理会诊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vAlign w:val="center"/>
          </w:tcPr>
          <w:p>
            <w:pPr>
              <w:numPr>
                <w:ilvl w:val="0"/>
                <w:numId w:val="2"/>
              </w:numPr>
              <w:spacing w:line="360" w:lineRule="auto"/>
              <w:jc w:val="center"/>
              <w:rPr>
                <w:rFonts w:ascii="宋体" w:hAnsi="宋体" w:eastAsia="宋体"/>
                <w:szCs w:val="21"/>
              </w:rPr>
            </w:pPr>
          </w:p>
        </w:tc>
        <w:tc>
          <w:tcPr>
            <w:tcW w:w="749" w:type="pct"/>
            <w:vMerge w:val="continue"/>
            <w:vAlign w:val="center"/>
          </w:tcPr>
          <w:p>
            <w:pPr>
              <w:jc w:val="center"/>
              <w:rPr>
                <w:rFonts w:ascii="宋体" w:hAnsi="宋体" w:eastAsia="宋体" w:cs="宋体"/>
                <w:kern w:val="0"/>
                <w:szCs w:val="21"/>
              </w:rPr>
            </w:pPr>
          </w:p>
        </w:tc>
        <w:tc>
          <w:tcPr>
            <w:tcW w:w="3772" w:type="pct"/>
          </w:tcPr>
          <w:p>
            <w:pPr>
              <w:rPr>
                <w:rFonts w:ascii="宋体" w:hAnsi="宋体" w:eastAsia="宋体"/>
                <w:szCs w:val="21"/>
              </w:rPr>
            </w:pPr>
            <w:r>
              <w:rPr>
                <w:rFonts w:hint="eastAsia" w:ascii="宋体" w:hAnsi="宋体" w:eastAsia="宋体"/>
                <w:szCs w:val="21"/>
              </w:rPr>
              <w:t>支持手工提交书写报告，并指定医院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vAlign w:val="center"/>
          </w:tcPr>
          <w:p>
            <w:pPr>
              <w:numPr>
                <w:ilvl w:val="0"/>
                <w:numId w:val="2"/>
              </w:numPr>
              <w:spacing w:line="360" w:lineRule="auto"/>
              <w:jc w:val="center"/>
              <w:rPr>
                <w:rFonts w:ascii="宋体" w:hAnsi="宋体" w:eastAsia="宋体"/>
                <w:szCs w:val="21"/>
              </w:rPr>
            </w:pPr>
          </w:p>
        </w:tc>
        <w:tc>
          <w:tcPr>
            <w:tcW w:w="749" w:type="pct"/>
            <w:vMerge w:val="continue"/>
            <w:vAlign w:val="center"/>
          </w:tcPr>
          <w:p>
            <w:pPr>
              <w:jc w:val="center"/>
              <w:rPr>
                <w:rFonts w:ascii="宋体" w:hAnsi="宋体" w:eastAsia="宋体" w:cs="宋体"/>
                <w:kern w:val="0"/>
                <w:szCs w:val="21"/>
              </w:rPr>
            </w:pPr>
          </w:p>
        </w:tc>
        <w:tc>
          <w:tcPr>
            <w:tcW w:w="3772" w:type="pct"/>
          </w:tcPr>
          <w:p>
            <w:pPr>
              <w:rPr>
                <w:rFonts w:ascii="宋体" w:hAnsi="宋体" w:eastAsia="宋体"/>
                <w:szCs w:val="21"/>
              </w:rPr>
            </w:pPr>
            <w:r>
              <w:rPr>
                <w:rFonts w:hint="eastAsia" w:ascii="宋体" w:hAnsi="宋体" w:eastAsia="宋体"/>
                <w:szCs w:val="21"/>
              </w:rPr>
              <w:t>支持影像检查和写报告环节在不同的医疗机构进行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vAlign w:val="center"/>
          </w:tcPr>
          <w:p>
            <w:pPr>
              <w:numPr>
                <w:ilvl w:val="0"/>
                <w:numId w:val="2"/>
              </w:numPr>
              <w:spacing w:line="360" w:lineRule="auto"/>
              <w:jc w:val="center"/>
              <w:rPr>
                <w:rFonts w:ascii="宋体" w:hAnsi="宋体" w:eastAsia="宋体"/>
                <w:szCs w:val="21"/>
              </w:rPr>
            </w:pPr>
          </w:p>
        </w:tc>
        <w:tc>
          <w:tcPr>
            <w:tcW w:w="749" w:type="pct"/>
            <w:vMerge w:val="continue"/>
            <w:vAlign w:val="center"/>
          </w:tcPr>
          <w:p>
            <w:pPr>
              <w:jc w:val="center"/>
              <w:rPr>
                <w:rFonts w:ascii="宋体" w:hAnsi="宋体" w:eastAsia="宋体" w:cs="宋体"/>
                <w:kern w:val="0"/>
                <w:szCs w:val="21"/>
              </w:rPr>
            </w:pPr>
          </w:p>
        </w:tc>
        <w:tc>
          <w:tcPr>
            <w:tcW w:w="3772" w:type="pct"/>
          </w:tcPr>
          <w:p>
            <w:pPr>
              <w:rPr>
                <w:rFonts w:ascii="宋体" w:hAnsi="宋体" w:eastAsia="宋体"/>
                <w:szCs w:val="21"/>
              </w:rPr>
            </w:pPr>
            <w:r>
              <w:rPr>
                <w:rFonts w:hint="eastAsia" w:ascii="宋体" w:hAnsi="宋体" w:eastAsia="宋体"/>
                <w:szCs w:val="21"/>
              </w:rPr>
              <w:t>支持手工提交审核报告，支持书写报告和审核报告人员在不同的医院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vAlign w:val="center"/>
          </w:tcPr>
          <w:p>
            <w:pPr>
              <w:numPr>
                <w:ilvl w:val="0"/>
                <w:numId w:val="2"/>
              </w:numPr>
              <w:spacing w:line="360" w:lineRule="auto"/>
              <w:jc w:val="center"/>
              <w:rPr>
                <w:rFonts w:ascii="宋体" w:hAnsi="宋体" w:eastAsia="宋体"/>
                <w:szCs w:val="21"/>
              </w:rPr>
            </w:pPr>
          </w:p>
        </w:tc>
        <w:tc>
          <w:tcPr>
            <w:tcW w:w="749" w:type="pct"/>
            <w:vMerge w:val="continue"/>
            <w:vAlign w:val="center"/>
          </w:tcPr>
          <w:p>
            <w:pPr>
              <w:jc w:val="center"/>
              <w:rPr>
                <w:rFonts w:ascii="宋体" w:hAnsi="宋体" w:eastAsia="宋体" w:cs="宋体"/>
                <w:kern w:val="0"/>
                <w:szCs w:val="21"/>
              </w:rPr>
            </w:pPr>
          </w:p>
        </w:tc>
        <w:tc>
          <w:tcPr>
            <w:tcW w:w="3772" w:type="pct"/>
          </w:tcPr>
          <w:p>
            <w:pPr>
              <w:rPr>
                <w:rFonts w:ascii="宋体" w:hAnsi="宋体" w:eastAsia="宋体"/>
                <w:szCs w:val="21"/>
              </w:rPr>
            </w:pPr>
            <w:r>
              <w:rPr>
                <w:rFonts w:hint="eastAsia" w:ascii="宋体" w:hAnsi="宋体" w:eastAsia="宋体"/>
                <w:szCs w:val="21"/>
              </w:rPr>
              <w:t>手工提交任务的管理，包括状态查询、失败重试、删除等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vAlign w:val="center"/>
          </w:tcPr>
          <w:p>
            <w:pPr>
              <w:numPr>
                <w:ilvl w:val="0"/>
                <w:numId w:val="2"/>
              </w:numPr>
              <w:spacing w:line="360" w:lineRule="auto"/>
              <w:jc w:val="center"/>
              <w:rPr>
                <w:rFonts w:ascii="宋体" w:hAnsi="宋体" w:eastAsia="宋体"/>
                <w:szCs w:val="21"/>
              </w:rPr>
            </w:pPr>
          </w:p>
        </w:tc>
        <w:tc>
          <w:tcPr>
            <w:tcW w:w="749" w:type="pct"/>
            <w:vMerge w:val="continue"/>
            <w:vAlign w:val="center"/>
          </w:tcPr>
          <w:p>
            <w:pPr>
              <w:jc w:val="center"/>
              <w:rPr>
                <w:rFonts w:ascii="宋体" w:hAnsi="宋体" w:eastAsia="宋体" w:cs="宋体"/>
                <w:kern w:val="0"/>
                <w:szCs w:val="21"/>
              </w:rPr>
            </w:pPr>
          </w:p>
        </w:tc>
        <w:tc>
          <w:tcPr>
            <w:tcW w:w="3772" w:type="pct"/>
          </w:tcPr>
          <w:p>
            <w:pPr>
              <w:rPr>
                <w:rFonts w:ascii="宋体" w:hAnsi="宋体" w:eastAsia="宋体"/>
                <w:szCs w:val="21"/>
              </w:rPr>
            </w:pPr>
            <w:r>
              <w:rPr>
                <w:rFonts w:hint="eastAsia" w:ascii="宋体" w:hAnsi="宋体" w:eastAsia="宋体"/>
                <w:szCs w:val="21"/>
              </w:rPr>
              <w:t>协作医院写报告回传后，支持再次修改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vAlign w:val="center"/>
          </w:tcPr>
          <w:p>
            <w:pPr>
              <w:numPr>
                <w:ilvl w:val="0"/>
                <w:numId w:val="2"/>
              </w:numPr>
              <w:spacing w:line="360" w:lineRule="auto"/>
              <w:jc w:val="center"/>
              <w:rPr>
                <w:rFonts w:ascii="宋体" w:hAnsi="宋体" w:eastAsia="宋体"/>
                <w:szCs w:val="21"/>
              </w:rPr>
            </w:pPr>
          </w:p>
        </w:tc>
        <w:tc>
          <w:tcPr>
            <w:tcW w:w="749" w:type="pct"/>
            <w:vMerge w:val="continue"/>
            <w:vAlign w:val="center"/>
          </w:tcPr>
          <w:p>
            <w:pPr>
              <w:jc w:val="center"/>
              <w:rPr>
                <w:rFonts w:ascii="宋体" w:hAnsi="宋体" w:eastAsia="宋体" w:cs="宋体"/>
                <w:kern w:val="0"/>
                <w:szCs w:val="21"/>
              </w:rPr>
            </w:pPr>
          </w:p>
        </w:tc>
        <w:tc>
          <w:tcPr>
            <w:tcW w:w="3772" w:type="pct"/>
          </w:tcPr>
          <w:p>
            <w:pPr>
              <w:rPr>
                <w:rFonts w:ascii="宋体" w:hAnsi="宋体" w:eastAsia="宋体"/>
                <w:szCs w:val="21"/>
              </w:rPr>
            </w:pPr>
            <w:r>
              <w:rPr>
                <w:rFonts w:hint="eastAsia" w:ascii="宋体" w:hAnsi="宋体" w:eastAsia="宋体"/>
                <w:szCs w:val="21"/>
              </w:rPr>
              <w:t>支持异地书写报告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vAlign w:val="center"/>
          </w:tcPr>
          <w:p>
            <w:pPr>
              <w:numPr>
                <w:ilvl w:val="0"/>
                <w:numId w:val="2"/>
              </w:numPr>
              <w:spacing w:line="360" w:lineRule="auto"/>
              <w:jc w:val="center"/>
              <w:rPr>
                <w:rFonts w:ascii="宋体" w:hAnsi="宋体" w:eastAsia="宋体"/>
                <w:szCs w:val="21"/>
              </w:rPr>
            </w:pPr>
          </w:p>
        </w:tc>
        <w:tc>
          <w:tcPr>
            <w:tcW w:w="749" w:type="pct"/>
            <w:vMerge w:val="continue"/>
            <w:vAlign w:val="center"/>
          </w:tcPr>
          <w:p>
            <w:pPr>
              <w:jc w:val="center"/>
              <w:rPr>
                <w:rFonts w:ascii="宋体" w:hAnsi="宋体" w:eastAsia="宋体" w:cs="宋体"/>
                <w:kern w:val="0"/>
                <w:szCs w:val="21"/>
              </w:rPr>
            </w:pPr>
          </w:p>
        </w:tc>
        <w:tc>
          <w:tcPr>
            <w:tcW w:w="3772" w:type="pct"/>
          </w:tcPr>
          <w:p>
            <w:pPr>
              <w:rPr>
                <w:rFonts w:ascii="宋体" w:hAnsi="宋体" w:eastAsia="宋体"/>
                <w:szCs w:val="21"/>
              </w:rPr>
            </w:pPr>
            <w:r>
              <w:rPr>
                <w:rFonts w:hint="eastAsia" w:ascii="宋体" w:hAnsi="宋体" w:eastAsia="宋体"/>
                <w:szCs w:val="21"/>
              </w:rPr>
              <w:t>▲医生在其他医院帮扶时，支持兼顾处理本院的工作任务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vAlign w:val="center"/>
          </w:tcPr>
          <w:p>
            <w:pPr>
              <w:numPr>
                <w:ilvl w:val="0"/>
                <w:numId w:val="2"/>
              </w:numPr>
              <w:spacing w:line="360" w:lineRule="auto"/>
              <w:jc w:val="center"/>
              <w:rPr>
                <w:rFonts w:ascii="宋体" w:hAnsi="宋体" w:eastAsia="宋体"/>
                <w:szCs w:val="21"/>
              </w:rPr>
            </w:pPr>
          </w:p>
        </w:tc>
        <w:tc>
          <w:tcPr>
            <w:tcW w:w="749" w:type="pct"/>
            <w:vMerge w:val="continue"/>
            <w:vAlign w:val="center"/>
          </w:tcPr>
          <w:p>
            <w:pPr>
              <w:jc w:val="center"/>
              <w:rPr>
                <w:rFonts w:ascii="宋体" w:hAnsi="宋体" w:eastAsia="宋体" w:cs="宋体"/>
                <w:kern w:val="0"/>
                <w:szCs w:val="21"/>
              </w:rPr>
            </w:pPr>
          </w:p>
        </w:tc>
        <w:tc>
          <w:tcPr>
            <w:tcW w:w="3772" w:type="pct"/>
          </w:tcPr>
          <w:p>
            <w:pPr>
              <w:rPr>
                <w:rFonts w:ascii="宋体" w:hAnsi="宋体" w:eastAsia="宋体"/>
                <w:szCs w:val="21"/>
              </w:rPr>
            </w:pPr>
            <w:r>
              <w:rPr>
                <w:rFonts w:hint="eastAsia" w:ascii="宋体" w:hAnsi="宋体" w:eastAsia="宋体"/>
                <w:szCs w:val="21"/>
              </w:rPr>
              <w:t>医生查询工作列表，可通过列表展示内容了解检查所属医院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vAlign w:val="center"/>
          </w:tcPr>
          <w:p>
            <w:pPr>
              <w:numPr>
                <w:ilvl w:val="0"/>
                <w:numId w:val="2"/>
              </w:numPr>
              <w:spacing w:line="360" w:lineRule="auto"/>
              <w:jc w:val="center"/>
              <w:rPr>
                <w:rFonts w:ascii="宋体" w:hAnsi="宋体" w:eastAsia="宋体"/>
                <w:szCs w:val="21"/>
              </w:rPr>
            </w:pPr>
          </w:p>
        </w:tc>
        <w:tc>
          <w:tcPr>
            <w:tcW w:w="749" w:type="pct"/>
            <w:vMerge w:val="continue"/>
            <w:vAlign w:val="center"/>
          </w:tcPr>
          <w:p>
            <w:pPr>
              <w:jc w:val="center"/>
              <w:rPr>
                <w:rFonts w:ascii="宋体" w:hAnsi="宋体" w:eastAsia="宋体" w:cs="宋体"/>
                <w:kern w:val="0"/>
                <w:szCs w:val="21"/>
              </w:rPr>
            </w:pPr>
          </w:p>
        </w:tc>
        <w:tc>
          <w:tcPr>
            <w:tcW w:w="3772" w:type="pct"/>
          </w:tcPr>
          <w:p>
            <w:pPr>
              <w:rPr>
                <w:rFonts w:ascii="宋体" w:hAnsi="宋体" w:eastAsia="宋体"/>
                <w:szCs w:val="21"/>
              </w:rPr>
            </w:pPr>
            <w:r>
              <w:rPr>
                <w:rFonts w:hint="eastAsia" w:ascii="宋体" w:hAnsi="宋体" w:eastAsia="宋体"/>
                <w:szCs w:val="21"/>
              </w:rPr>
              <w:t>区域业务协作过程中，系统自动将检查状态信息和报告结果回传至相关医院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vAlign w:val="center"/>
          </w:tcPr>
          <w:p>
            <w:pPr>
              <w:numPr>
                <w:ilvl w:val="0"/>
                <w:numId w:val="2"/>
              </w:numPr>
              <w:spacing w:line="360" w:lineRule="auto"/>
              <w:jc w:val="center"/>
              <w:rPr>
                <w:rFonts w:ascii="宋体" w:hAnsi="宋体" w:eastAsia="宋体"/>
                <w:szCs w:val="21"/>
              </w:rPr>
            </w:pPr>
          </w:p>
        </w:tc>
        <w:tc>
          <w:tcPr>
            <w:tcW w:w="749" w:type="pct"/>
            <w:vMerge w:val="continue"/>
            <w:vAlign w:val="center"/>
          </w:tcPr>
          <w:p>
            <w:pPr>
              <w:jc w:val="center"/>
              <w:rPr>
                <w:rFonts w:ascii="宋体" w:hAnsi="宋体" w:eastAsia="宋体" w:cs="宋体"/>
                <w:kern w:val="0"/>
                <w:szCs w:val="21"/>
              </w:rPr>
            </w:pPr>
          </w:p>
        </w:tc>
        <w:tc>
          <w:tcPr>
            <w:tcW w:w="3772" w:type="pct"/>
          </w:tcPr>
          <w:p>
            <w:pPr>
              <w:rPr>
                <w:rFonts w:ascii="宋体" w:hAnsi="宋体" w:eastAsia="宋体"/>
                <w:szCs w:val="21"/>
              </w:rPr>
            </w:pPr>
            <w:r>
              <w:rPr>
                <w:rFonts w:hint="eastAsia" w:ascii="宋体" w:hAnsi="宋体" w:eastAsia="宋体"/>
                <w:szCs w:val="21"/>
              </w:rPr>
              <w:t>书写/审核报告过程中，支持提交方更新检查和影像数据，且数据毫秒级同步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vAlign w:val="center"/>
          </w:tcPr>
          <w:p>
            <w:pPr>
              <w:numPr>
                <w:ilvl w:val="0"/>
                <w:numId w:val="2"/>
              </w:numPr>
              <w:spacing w:line="360" w:lineRule="auto"/>
              <w:jc w:val="center"/>
              <w:rPr>
                <w:rFonts w:ascii="宋体" w:hAnsi="宋体" w:eastAsia="宋体"/>
                <w:szCs w:val="21"/>
              </w:rPr>
            </w:pPr>
          </w:p>
        </w:tc>
        <w:tc>
          <w:tcPr>
            <w:tcW w:w="749" w:type="pct"/>
            <w:vMerge w:val="continue"/>
            <w:vAlign w:val="center"/>
          </w:tcPr>
          <w:p>
            <w:pPr>
              <w:jc w:val="center"/>
              <w:rPr>
                <w:rFonts w:ascii="宋体" w:hAnsi="宋体" w:eastAsia="宋体" w:cs="宋体"/>
                <w:kern w:val="0"/>
                <w:szCs w:val="21"/>
              </w:rPr>
            </w:pPr>
          </w:p>
        </w:tc>
        <w:tc>
          <w:tcPr>
            <w:tcW w:w="3772" w:type="pct"/>
          </w:tcPr>
          <w:p>
            <w:pPr>
              <w:rPr>
                <w:rFonts w:ascii="宋体" w:hAnsi="宋体" w:eastAsia="宋体"/>
                <w:szCs w:val="21"/>
              </w:rPr>
            </w:pPr>
            <w:r>
              <w:rPr>
                <w:rFonts w:hint="eastAsia" w:ascii="宋体" w:hAnsi="宋体" w:eastAsia="宋体"/>
                <w:szCs w:val="21"/>
              </w:rPr>
              <w:t>支持多处理中心，如多个会诊中心，多个写报告中心，多个审核报告中心；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vAlign w:val="center"/>
          </w:tcPr>
          <w:p>
            <w:pPr>
              <w:numPr>
                <w:ilvl w:val="0"/>
                <w:numId w:val="2"/>
              </w:numPr>
              <w:spacing w:line="360" w:lineRule="auto"/>
              <w:jc w:val="center"/>
              <w:rPr>
                <w:rFonts w:ascii="宋体" w:hAnsi="宋体" w:eastAsia="宋体"/>
                <w:szCs w:val="21"/>
              </w:rPr>
            </w:pPr>
          </w:p>
        </w:tc>
        <w:tc>
          <w:tcPr>
            <w:tcW w:w="749" w:type="pct"/>
            <w:vMerge w:val="continue"/>
            <w:vAlign w:val="center"/>
          </w:tcPr>
          <w:p>
            <w:pPr>
              <w:jc w:val="center"/>
              <w:rPr>
                <w:rFonts w:ascii="宋体" w:hAnsi="宋体" w:eastAsia="宋体" w:cs="宋体"/>
                <w:kern w:val="0"/>
                <w:szCs w:val="21"/>
              </w:rPr>
            </w:pPr>
          </w:p>
        </w:tc>
        <w:tc>
          <w:tcPr>
            <w:tcW w:w="3772" w:type="pct"/>
          </w:tcPr>
          <w:p>
            <w:pPr>
              <w:rPr>
                <w:rFonts w:ascii="宋体" w:hAnsi="宋体" w:eastAsia="宋体"/>
                <w:szCs w:val="21"/>
              </w:rPr>
            </w:pPr>
            <w:r>
              <w:rPr>
                <w:rFonts w:hint="eastAsia" w:ascii="宋体" w:hAnsi="宋体" w:eastAsia="宋体"/>
                <w:szCs w:val="21"/>
              </w:rPr>
              <w:t>支持多个医院的医生同时处理平台会诊协作数据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vAlign w:val="center"/>
          </w:tcPr>
          <w:p>
            <w:pPr>
              <w:numPr>
                <w:ilvl w:val="0"/>
                <w:numId w:val="2"/>
              </w:numPr>
              <w:spacing w:line="360" w:lineRule="auto"/>
              <w:jc w:val="center"/>
              <w:rPr>
                <w:rFonts w:ascii="宋体" w:hAnsi="宋体" w:eastAsia="宋体"/>
                <w:szCs w:val="21"/>
              </w:rPr>
            </w:pPr>
          </w:p>
        </w:tc>
        <w:tc>
          <w:tcPr>
            <w:tcW w:w="749" w:type="pct"/>
            <w:vMerge w:val="continue"/>
            <w:vAlign w:val="center"/>
          </w:tcPr>
          <w:p>
            <w:pPr>
              <w:jc w:val="center"/>
              <w:rPr>
                <w:rFonts w:ascii="宋体" w:hAnsi="宋体" w:eastAsia="宋体" w:cs="宋体"/>
                <w:kern w:val="0"/>
                <w:szCs w:val="21"/>
              </w:rPr>
            </w:pPr>
          </w:p>
        </w:tc>
        <w:tc>
          <w:tcPr>
            <w:tcW w:w="3772" w:type="pct"/>
          </w:tcPr>
          <w:p>
            <w:pPr>
              <w:rPr>
                <w:rFonts w:ascii="宋体" w:hAnsi="宋体" w:eastAsia="宋体"/>
                <w:szCs w:val="21"/>
              </w:rPr>
            </w:pPr>
            <w:r>
              <w:rPr>
                <w:rFonts w:hint="eastAsia" w:ascii="宋体" w:hAnsi="宋体" w:eastAsia="宋体"/>
                <w:szCs w:val="21"/>
              </w:rPr>
              <w:t>▲当多个医院的医生同时处理平台同一书写/审核协作任务时，支持冲突提示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vAlign w:val="center"/>
          </w:tcPr>
          <w:p>
            <w:pPr>
              <w:numPr>
                <w:ilvl w:val="0"/>
                <w:numId w:val="2"/>
              </w:numPr>
              <w:spacing w:line="360" w:lineRule="auto"/>
              <w:jc w:val="center"/>
              <w:rPr>
                <w:rFonts w:ascii="宋体" w:hAnsi="宋体" w:eastAsia="宋体"/>
                <w:szCs w:val="21"/>
              </w:rPr>
            </w:pPr>
          </w:p>
        </w:tc>
        <w:tc>
          <w:tcPr>
            <w:tcW w:w="749" w:type="pct"/>
            <w:vMerge w:val="continue"/>
            <w:vAlign w:val="center"/>
          </w:tcPr>
          <w:p>
            <w:pPr>
              <w:jc w:val="center"/>
              <w:rPr>
                <w:rFonts w:ascii="宋体" w:hAnsi="宋体" w:eastAsia="宋体" w:cs="宋体"/>
                <w:kern w:val="0"/>
                <w:szCs w:val="21"/>
              </w:rPr>
            </w:pPr>
          </w:p>
        </w:tc>
        <w:tc>
          <w:tcPr>
            <w:tcW w:w="3772" w:type="pct"/>
          </w:tcPr>
          <w:p>
            <w:pPr>
              <w:rPr>
                <w:rFonts w:ascii="宋体" w:hAnsi="宋体" w:eastAsia="宋体"/>
                <w:szCs w:val="21"/>
              </w:rPr>
            </w:pPr>
            <w:r>
              <w:rPr>
                <w:rFonts w:hint="eastAsia" w:ascii="宋体" w:hAnsi="宋体" w:eastAsia="宋体"/>
                <w:szCs w:val="21"/>
              </w:rPr>
              <w:t>支持手工提交会诊，以及上级医生手工查询并处理会诊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vAlign w:val="center"/>
          </w:tcPr>
          <w:p>
            <w:pPr>
              <w:numPr>
                <w:ilvl w:val="0"/>
                <w:numId w:val="2"/>
              </w:numPr>
              <w:spacing w:line="360" w:lineRule="auto"/>
              <w:jc w:val="center"/>
              <w:rPr>
                <w:rFonts w:ascii="宋体" w:hAnsi="宋体" w:eastAsia="宋体"/>
                <w:szCs w:val="21"/>
              </w:rPr>
            </w:pPr>
          </w:p>
        </w:tc>
        <w:tc>
          <w:tcPr>
            <w:tcW w:w="749" w:type="pct"/>
            <w:vMerge w:val="continue"/>
            <w:vAlign w:val="center"/>
          </w:tcPr>
          <w:p>
            <w:pPr>
              <w:jc w:val="center"/>
              <w:rPr>
                <w:rFonts w:ascii="宋体" w:hAnsi="宋体" w:eastAsia="宋体" w:cs="宋体"/>
                <w:kern w:val="0"/>
                <w:szCs w:val="21"/>
              </w:rPr>
            </w:pPr>
          </w:p>
        </w:tc>
        <w:tc>
          <w:tcPr>
            <w:tcW w:w="3772" w:type="pct"/>
          </w:tcPr>
          <w:p>
            <w:pPr>
              <w:rPr>
                <w:rFonts w:ascii="宋体" w:hAnsi="宋体" w:eastAsia="宋体"/>
                <w:szCs w:val="21"/>
              </w:rPr>
            </w:pPr>
            <w:r>
              <w:rPr>
                <w:rFonts w:hint="eastAsia" w:ascii="宋体" w:hAnsi="宋体" w:eastAsia="宋体"/>
                <w:szCs w:val="21"/>
              </w:rPr>
              <w:t>支持手工提交书写报告，并指定医院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vAlign w:val="center"/>
          </w:tcPr>
          <w:p>
            <w:pPr>
              <w:numPr>
                <w:ilvl w:val="0"/>
                <w:numId w:val="2"/>
              </w:numPr>
              <w:spacing w:line="360" w:lineRule="auto"/>
              <w:jc w:val="center"/>
              <w:rPr>
                <w:rFonts w:ascii="宋体" w:hAnsi="宋体" w:eastAsia="宋体"/>
                <w:szCs w:val="21"/>
              </w:rPr>
            </w:pPr>
          </w:p>
        </w:tc>
        <w:tc>
          <w:tcPr>
            <w:tcW w:w="749" w:type="pct"/>
            <w:vMerge w:val="continue"/>
            <w:vAlign w:val="center"/>
          </w:tcPr>
          <w:p>
            <w:pPr>
              <w:jc w:val="center"/>
              <w:rPr>
                <w:rFonts w:ascii="宋体" w:hAnsi="宋体" w:eastAsia="宋体" w:cs="宋体"/>
                <w:kern w:val="0"/>
                <w:szCs w:val="21"/>
              </w:rPr>
            </w:pPr>
          </w:p>
        </w:tc>
        <w:tc>
          <w:tcPr>
            <w:tcW w:w="3772" w:type="pct"/>
          </w:tcPr>
          <w:p>
            <w:pPr>
              <w:rPr>
                <w:rFonts w:ascii="宋体" w:hAnsi="宋体" w:eastAsia="宋体"/>
                <w:szCs w:val="21"/>
              </w:rPr>
            </w:pPr>
            <w:r>
              <w:rPr>
                <w:rFonts w:hint="eastAsia" w:ascii="宋体" w:hAnsi="宋体" w:eastAsia="宋体"/>
                <w:szCs w:val="21"/>
              </w:rPr>
              <w:t>支持影像检查和写报告环节在不同的医疗机构进行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vAlign w:val="center"/>
          </w:tcPr>
          <w:p>
            <w:pPr>
              <w:numPr>
                <w:ilvl w:val="0"/>
                <w:numId w:val="2"/>
              </w:numPr>
              <w:spacing w:line="360" w:lineRule="auto"/>
              <w:jc w:val="center"/>
              <w:rPr>
                <w:rFonts w:ascii="宋体" w:hAnsi="宋体" w:eastAsia="宋体"/>
                <w:szCs w:val="21"/>
              </w:rPr>
            </w:pPr>
          </w:p>
        </w:tc>
        <w:tc>
          <w:tcPr>
            <w:tcW w:w="749" w:type="pct"/>
            <w:vMerge w:val="continue"/>
            <w:vAlign w:val="center"/>
          </w:tcPr>
          <w:p>
            <w:pPr>
              <w:jc w:val="center"/>
              <w:rPr>
                <w:rFonts w:ascii="宋体" w:hAnsi="宋体" w:eastAsia="宋体" w:cs="宋体"/>
                <w:kern w:val="0"/>
                <w:szCs w:val="21"/>
              </w:rPr>
            </w:pPr>
          </w:p>
        </w:tc>
        <w:tc>
          <w:tcPr>
            <w:tcW w:w="3772" w:type="pct"/>
          </w:tcPr>
          <w:p>
            <w:pPr>
              <w:rPr>
                <w:rFonts w:ascii="宋体" w:hAnsi="宋体" w:eastAsia="宋体"/>
                <w:szCs w:val="21"/>
              </w:rPr>
            </w:pPr>
            <w:r>
              <w:rPr>
                <w:rFonts w:hint="eastAsia" w:ascii="宋体" w:hAnsi="宋体" w:eastAsia="宋体"/>
                <w:szCs w:val="21"/>
              </w:rPr>
              <w:t>支持手工提交审核报告，支持书写报告和审核报告人员在不同的医院</w:t>
            </w:r>
          </w:p>
        </w:tc>
      </w:tr>
    </w:tbl>
    <w:p>
      <w:pPr>
        <w:spacing w:line="360" w:lineRule="auto"/>
        <w:rPr>
          <w:rFonts w:ascii="宋体" w:hAnsi="宋体" w:eastAsia="宋体"/>
          <w:sz w:val="24"/>
          <w:szCs w:val="24"/>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MS Mincho">
    <w:altName w:val="Yu Gothic UI"/>
    <w:panose1 w:val="02020609040205080304"/>
    <w:charset w:val="80"/>
    <w:family w:val="modern"/>
    <w:pitch w:val="default"/>
    <w:sig w:usb0="00000000" w:usb1="00000000" w:usb2="08000012" w:usb3="00000000" w:csb0="0002009F" w:csb1="00000000"/>
  </w:font>
  <w:font w:name="Helvetica">
    <w:altName w:val="Arial"/>
    <w:panose1 w:val="020B0604020202020204"/>
    <w:charset w:val="00"/>
    <w:family w:val="swiss"/>
    <w:pitch w:val="default"/>
    <w:sig w:usb0="00000000" w:usb1="00000000"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2A767A5"/>
    <w:multiLevelType w:val="multilevel"/>
    <w:tmpl w:val="62A767A5"/>
    <w:lvl w:ilvl="0" w:tentative="0">
      <w:start w:val="1"/>
      <w:numFmt w:val="decimal"/>
      <w:suff w:val="nothing"/>
      <w:lvlText w:val="%1"/>
      <w:lvlJc w:val="left"/>
      <w:pPr>
        <w:ind w:left="440" w:hanging="440"/>
      </w:pPr>
      <w:rPr>
        <w:rFonts w:hint="eastAsia"/>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1">
    <w:nsid w:val="6ED070F4"/>
    <w:multiLevelType w:val="multilevel"/>
    <w:tmpl w:val="6ED070F4"/>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WE5YjllZmY2M2E1NGNiNjg3NmM3OGQ5ODBmZjZjMmUifQ=="/>
  </w:docVars>
  <w:rsids>
    <w:rsidRoot w:val="004C270E"/>
    <w:rsid w:val="00041FBF"/>
    <w:rsid w:val="001A567C"/>
    <w:rsid w:val="001B0F41"/>
    <w:rsid w:val="001F3EAF"/>
    <w:rsid w:val="0028745F"/>
    <w:rsid w:val="002C108F"/>
    <w:rsid w:val="002E72F0"/>
    <w:rsid w:val="003605CE"/>
    <w:rsid w:val="0048412E"/>
    <w:rsid w:val="004C270E"/>
    <w:rsid w:val="004C55BD"/>
    <w:rsid w:val="00533CF1"/>
    <w:rsid w:val="00603F3F"/>
    <w:rsid w:val="006522DD"/>
    <w:rsid w:val="0094430D"/>
    <w:rsid w:val="00946AF8"/>
    <w:rsid w:val="009549E1"/>
    <w:rsid w:val="00A7618F"/>
    <w:rsid w:val="00AF0763"/>
    <w:rsid w:val="00B27706"/>
    <w:rsid w:val="00B770D6"/>
    <w:rsid w:val="00C12885"/>
    <w:rsid w:val="00CB0F37"/>
    <w:rsid w:val="00CB2B94"/>
    <w:rsid w:val="00D2183B"/>
    <w:rsid w:val="00D92C78"/>
    <w:rsid w:val="00EE4E22"/>
    <w:rsid w:val="00F474A8"/>
    <w:rsid w:val="72B507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14:ligatures w14:val="standardContextual"/>
    </w:rPr>
  </w:style>
  <w:style w:type="paragraph" w:styleId="2">
    <w:name w:val="heading 1"/>
    <w:basedOn w:val="1"/>
    <w:next w:val="1"/>
    <w:link w:val="13"/>
    <w:qFormat/>
    <w:uiPriority w:val="9"/>
    <w:pPr>
      <w:keepNext/>
      <w:keepLines/>
      <w:spacing w:before="340" w:after="330" w:line="578" w:lineRule="auto"/>
      <w:outlineLvl w:val="0"/>
    </w:pPr>
    <w:rPr>
      <w:b/>
      <w:bCs/>
      <w:kern w:val="44"/>
      <w:sz w:val="44"/>
      <w:szCs w:val="44"/>
    </w:rPr>
  </w:style>
  <w:style w:type="paragraph" w:styleId="3">
    <w:name w:val="heading 3"/>
    <w:basedOn w:val="1"/>
    <w:next w:val="1"/>
    <w:link w:val="12"/>
    <w:unhideWhenUsed/>
    <w:qFormat/>
    <w:uiPriority w:val="0"/>
    <w:pPr>
      <w:keepNext/>
      <w:keepLines/>
      <w:spacing w:before="260" w:after="260" w:line="416" w:lineRule="auto"/>
      <w:outlineLvl w:val="2"/>
    </w:pPr>
    <w:rPr>
      <w:rFonts w:ascii="Arial" w:hAnsi="Arial" w:eastAsia="宋体" w:cs="Arial"/>
      <w:b/>
      <w:bCs/>
      <w:sz w:val="32"/>
      <w:szCs w:val="32"/>
      <w14:ligatures w14:val="none"/>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4">
    <w:name w:val="Plain Text"/>
    <w:basedOn w:val="1"/>
    <w:link w:val="15"/>
    <w:qFormat/>
    <w:uiPriority w:val="0"/>
    <w:rPr>
      <w:rFonts w:ascii="宋体" w:hAnsi="Courier New" w:eastAsia="宋体" w:cs="Courier New"/>
      <w:szCs w:val="21"/>
      <w14:ligatures w14:val="none"/>
    </w:rPr>
  </w:style>
  <w:style w:type="paragraph" w:styleId="5">
    <w:name w:val="footer"/>
    <w:basedOn w:val="1"/>
    <w:link w:val="11"/>
    <w:unhideWhenUsed/>
    <w:uiPriority w:val="99"/>
    <w:pPr>
      <w:tabs>
        <w:tab w:val="center" w:pos="4153"/>
        <w:tab w:val="right" w:pos="8306"/>
      </w:tabs>
      <w:snapToGrid w:val="0"/>
      <w:jc w:val="left"/>
    </w:pPr>
    <w:rPr>
      <w:sz w:val="18"/>
      <w:szCs w:val="18"/>
    </w:rPr>
  </w:style>
  <w:style w:type="paragraph" w:styleId="6">
    <w:name w:val="header"/>
    <w:basedOn w:val="1"/>
    <w:link w:val="10"/>
    <w:unhideWhenUsed/>
    <w:uiPriority w:val="99"/>
    <w:pPr>
      <w:tabs>
        <w:tab w:val="center" w:pos="4153"/>
        <w:tab w:val="right" w:pos="8306"/>
      </w:tabs>
      <w:snapToGrid w:val="0"/>
      <w:jc w:val="center"/>
    </w:pPr>
    <w:rPr>
      <w:sz w:val="18"/>
      <w:szCs w:val="18"/>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页眉 字符"/>
    <w:basedOn w:val="9"/>
    <w:link w:val="6"/>
    <w:uiPriority w:val="99"/>
    <w:rPr>
      <w:sz w:val="18"/>
      <w:szCs w:val="18"/>
    </w:rPr>
  </w:style>
  <w:style w:type="character" w:customStyle="1" w:styleId="11">
    <w:name w:val="页脚 字符"/>
    <w:basedOn w:val="9"/>
    <w:link w:val="5"/>
    <w:uiPriority w:val="99"/>
    <w:rPr>
      <w:sz w:val="18"/>
      <w:szCs w:val="18"/>
    </w:rPr>
  </w:style>
  <w:style w:type="character" w:customStyle="1" w:styleId="12">
    <w:name w:val="标题 3 字符"/>
    <w:basedOn w:val="9"/>
    <w:link w:val="3"/>
    <w:uiPriority w:val="0"/>
    <w:rPr>
      <w:rFonts w:ascii="Arial" w:hAnsi="Arial" w:eastAsia="宋体" w:cs="Arial"/>
      <w:b/>
      <w:bCs/>
      <w:sz w:val="32"/>
      <w:szCs w:val="32"/>
      <w14:ligatures w14:val="none"/>
    </w:rPr>
  </w:style>
  <w:style w:type="character" w:customStyle="1" w:styleId="13">
    <w:name w:val="标题 1 字符"/>
    <w:basedOn w:val="9"/>
    <w:link w:val="2"/>
    <w:uiPriority w:val="9"/>
    <w:rPr>
      <w:b/>
      <w:bCs/>
      <w:kern w:val="44"/>
      <w:sz w:val="44"/>
      <w:szCs w:val="44"/>
    </w:rPr>
  </w:style>
  <w:style w:type="paragraph" w:styleId="14">
    <w:name w:val="List Paragraph"/>
    <w:basedOn w:val="1"/>
    <w:qFormat/>
    <w:uiPriority w:val="99"/>
    <w:pPr>
      <w:ind w:firstLine="420" w:firstLineChars="200"/>
    </w:pPr>
    <w:rPr>
      <w:rFonts w:ascii="Arial" w:hAnsi="Arial" w:eastAsia="宋体" w:cs="Arial"/>
      <w:szCs w:val="24"/>
      <w14:ligatures w14:val="none"/>
    </w:rPr>
  </w:style>
  <w:style w:type="character" w:customStyle="1" w:styleId="15">
    <w:name w:val="纯文本 字符"/>
    <w:basedOn w:val="9"/>
    <w:link w:val="4"/>
    <w:uiPriority w:val="0"/>
    <w:rPr>
      <w:rFonts w:ascii="宋体" w:hAnsi="Courier New" w:eastAsia="宋体" w:cs="Courier New"/>
      <w:szCs w:val="21"/>
      <w14:ligatures w14:val="none"/>
    </w:rPr>
  </w:style>
  <w:style w:type="paragraph" w:customStyle="1" w:styleId="16">
    <w:name w:val="Revision"/>
    <w:hidden/>
    <w:semiHidden/>
    <w:uiPriority w:val="99"/>
    <w:rPr>
      <w:rFonts w:asciiTheme="minorHAnsi" w:hAnsiTheme="minorHAnsi" w:eastAsiaTheme="minorEastAsia" w:cstheme="minorBidi"/>
      <w:kern w:val="2"/>
      <w:sz w:val="21"/>
      <w:szCs w:val="22"/>
      <w:lang w:val="en-US" w:eastAsia="zh-CN" w:bidi="ar-SA"/>
      <w14:ligatures w14:val="standardContextual"/>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8</Pages>
  <Words>957</Words>
  <Characters>5455</Characters>
  <Lines>45</Lines>
  <Paragraphs>12</Paragraphs>
  <TotalTime>12</TotalTime>
  <ScaleCrop>false</ScaleCrop>
  <LinksUpToDate>false</LinksUpToDate>
  <CharactersWithSpaces>6400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2023-11-23T08:14:00Z</dcterms:created>
  <dc:creator>A6134</dc:creator>
  <cp:lastModifiedBy>WPS_1654673419</cp:lastModifiedBy>
  <dcterms:modified xsi:type="dcterms:W3CDTF">2023-11-23T08:34:20Z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E8FBCAF2EB0547E597FB473E9F2EF16D_12</vt:lpwstr>
  </property>
</Properties>
</file>