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bookmarkStart w:id="0" w:name="_GoBack"/>
      <w:bookmarkEnd w:id="0"/>
      <w:r>
        <w:rPr>
          <w:rFonts w:hint="eastAsia"/>
        </w:rPr>
        <w:t>招标内容及需求</w:t>
      </w:r>
    </w:p>
    <w:p>
      <w:pPr>
        <w:snapToGrid w:val="0"/>
        <w:spacing w:before="120" w:beforeLines="50" w:after="120" w:afterLines="50" w:line="360" w:lineRule="auto"/>
        <w:outlineLvl w:val="0"/>
        <w:rPr>
          <w:rFonts w:hint="eastAsia" w:ascii="宋体" w:hAnsi="宋体"/>
          <w:b/>
          <w:sz w:val="24"/>
        </w:rPr>
      </w:pPr>
      <w:r>
        <w:rPr>
          <w:rFonts w:hint="eastAsia" w:ascii="宋体" w:hAnsi="宋体" w:cs="Arial"/>
          <w:b/>
          <w:bCs/>
          <w:sz w:val="24"/>
        </w:rPr>
        <w:t>采购内容</w:t>
      </w:r>
    </w:p>
    <w:tbl>
      <w:tblPr>
        <w:tblStyle w:val="5"/>
        <w:tblW w:w="7690"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93"/>
        <w:gridCol w:w="3099"/>
        <w:gridCol w:w="1266"/>
        <w:gridCol w:w="1266"/>
        <w:gridCol w:w="12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120" w:afterLines="50"/>
              <w:jc w:val="center"/>
              <w:outlineLvl w:val="0"/>
              <w:rPr>
                <w:rFonts w:hint="eastAsia" w:ascii="宋体" w:hAnsi="宋体" w:cs="Arial"/>
                <w:bCs/>
                <w:sz w:val="24"/>
              </w:rPr>
            </w:pPr>
            <w:r>
              <w:rPr>
                <w:rFonts w:hint="eastAsia" w:ascii="宋体" w:hAnsi="宋体" w:cs="Arial"/>
                <w:bCs/>
                <w:sz w:val="24"/>
              </w:rPr>
              <w:t>标项号</w:t>
            </w:r>
          </w:p>
        </w:tc>
        <w:tc>
          <w:tcPr>
            <w:tcW w:w="30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120" w:afterLines="50" w:line="360" w:lineRule="auto"/>
              <w:jc w:val="center"/>
              <w:outlineLvl w:val="0"/>
              <w:rPr>
                <w:rFonts w:ascii="宋体" w:hAnsi="宋体" w:cs="Arial"/>
                <w:bCs/>
                <w:sz w:val="24"/>
              </w:rPr>
            </w:pPr>
            <w:r>
              <w:rPr>
                <w:rFonts w:ascii="宋体" w:hAnsi="宋体" w:cs="Arial"/>
                <w:bCs/>
                <w:sz w:val="24"/>
              </w:rPr>
              <w:t>采购内容</w:t>
            </w:r>
          </w:p>
        </w:tc>
        <w:tc>
          <w:tcPr>
            <w:tcW w:w="126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120" w:afterLines="50" w:line="360" w:lineRule="auto"/>
              <w:jc w:val="center"/>
              <w:outlineLvl w:val="0"/>
              <w:rPr>
                <w:rFonts w:ascii="宋体" w:hAnsi="宋体" w:cs="Arial"/>
                <w:bCs/>
                <w:sz w:val="24"/>
              </w:rPr>
            </w:pPr>
            <w:r>
              <w:rPr>
                <w:rFonts w:ascii="宋体" w:hAnsi="宋体" w:cs="Arial"/>
                <w:bCs/>
                <w:sz w:val="24"/>
              </w:rPr>
              <w:t>单位及数量</w:t>
            </w:r>
          </w:p>
        </w:tc>
        <w:tc>
          <w:tcPr>
            <w:tcW w:w="126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120" w:afterLines="50" w:line="360" w:lineRule="auto"/>
              <w:jc w:val="center"/>
              <w:outlineLvl w:val="0"/>
              <w:rPr>
                <w:rFonts w:hint="default" w:ascii="宋体" w:hAnsi="宋体" w:eastAsia="宋体" w:cs="Arial"/>
                <w:bCs/>
                <w:sz w:val="24"/>
                <w:lang w:val="en-US" w:eastAsia="zh-CN"/>
              </w:rPr>
            </w:pPr>
            <w:r>
              <w:rPr>
                <w:rFonts w:hint="eastAsia" w:ascii="宋体" w:hAnsi="宋体" w:cs="Arial"/>
                <w:bCs/>
                <w:sz w:val="24"/>
                <w:lang w:val="en-US" w:eastAsia="zh-CN"/>
              </w:rPr>
              <w:t>采购时间</w:t>
            </w:r>
          </w:p>
        </w:tc>
        <w:tc>
          <w:tcPr>
            <w:tcW w:w="126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120" w:afterLines="50" w:line="360" w:lineRule="auto"/>
              <w:jc w:val="center"/>
              <w:outlineLvl w:val="0"/>
              <w:rPr>
                <w:rFonts w:hint="default" w:ascii="宋体" w:hAnsi="宋体" w:cs="Arial"/>
                <w:bCs/>
                <w:sz w:val="24"/>
                <w:lang w:val="en-US" w:eastAsia="zh-CN"/>
              </w:rPr>
            </w:pPr>
            <w:r>
              <w:rPr>
                <w:rFonts w:hint="eastAsia" w:ascii="宋体" w:hAnsi="宋体" w:cs="Arial"/>
                <w:bCs/>
                <w:sz w:val="24"/>
                <w:lang w:val="en-US" w:eastAsia="zh-CN"/>
              </w:rPr>
              <w:t>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spacing w:line="225" w:lineRule="atLeast"/>
              <w:jc w:val="center"/>
              <w:rPr>
                <w:rFonts w:hint="eastAsia" w:ascii="宋体" w:hAnsi="宋体"/>
                <w:spacing w:val="-4"/>
                <w:sz w:val="24"/>
              </w:rPr>
            </w:pPr>
            <w:r>
              <w:rPr>
                <w:rFonts w:hint="eastAsia" w:ascii="宋体" w:hAnsi="宋体"/>
                <w:spacing w:val="-4"/>
                <w:sz w:val="24"/>
              </w:rPr>
              <w:t>1</w:t>
            </w:r>
          </w:p>
        </w:tc>
        <w:tc>
          <w:tcPr>
            <w:tcW w:w="3099"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int="default" w:hAnsi="宋体"/>
                <w:spacing w:val="-4"/>
                <w:sz w:val="24"/>
                <w:szCs w:val="24"/>
              </w:rPr>
            </w:pPr>
            <w:r>
              <w:rPr>
                <w:rFonts w:hAnsi="宋体"/>
                <w:spacing w:val="-4"/>
                <w:sz w:val="24"/>
                <w:szCs w:val="24"/>
              </w:rPr>
              <w:t>终端运维服务</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widowControl/>
              <w:spacing w:line="225" w:lineRule="atLeast"/>
              <w:jc w:val="center"/>
              <w:rPr>
                <w:rFonts w:hint="eastAsia" w:ascii="宋体" w:hAnsi="宋体"/>
                <w:spacing w:val="-4"/>
                <w:sz w:val="24"/>
              </w:rPr>
            </w:pPr>
            <w:r>
              <w:rPr>
                <w:rFonts w:hint="eastAsia" w:ascii="宋体" w:hAnsi="宋体"/>
                <w:spacing w:val="-4"/>
                <w:sz w:val="24"/>
              </w:rPr>
              <w:t>1</w:t>
            </w:r>
            <w:r>
              <w:rPr>
                <w:rFonts w:hint="eastAsia" w:ascii="宋体" w:hAnsi="宋体"/>
                <w:spacing w:val="-4"/>
                <w:sz w:val="24"/>
                <w:lang w:eastAsia="zh-Hans"/>
              </w:rPr>
              <w:t>项</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widowControl/>
              <w:spacing w:line="225" w:lineRule="atLeast"/>
              <w:jc w:val="center"/>
              <w:rPr>
                <w:rFonts w:hint="default" w:ascii="宋体" w:hAnsi="宋体" w:eastAsia="宋体"/>
                <w:spacing w:val="-4"/>
                <w:sz w:val="24"/>
                <w:lang w:val="en-US" w:eastAsia="zh-CN"/>
              </w:rPr>
            </w:pPr>
            <w:r>
              <w:rPr>
                <w:rFonts w:hint="eastAsia" w:ascii="宋体" w:hAnsi="宋体"/>
                <w:spacing w:val="-4"/>
                <w:sz w:val="24"/>
                <w:lang w:val="en-US" w:eastAsia="zh-CN"/>
              </w:rPr>
              <w:t>2年</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widowControl/>
              <w:spacing w:line="225" w:lineRule="atLeast"/>
              <w:jc w:val="center"/>
              <w:rPr>
                <w:rFonts w:hint="default" w:ascii="宋体" w:hAnsi="宋体"/>
                <w:spacing w:val="-4"/>
                <w:sz w:val="24"/>
                <w:lang w:val="en-US" w:eastAsia="zh-CN"/>
              </w:rPr>
            </w:pPr>
            <w:r>
              <w:rPr>
                <w:rFonts w:hint="eastAsia" w:ascii="宋体" w:hAnsi="宋体"/>
                <w:spacing w:val="-4"/>
                <w:sz w:val="24"/>
                <w:lang w:val="en-US" w:eastAsia="zh-CN"/>
              </w:rPr>
              <w:t>300万元</w:t>
            </w:r>
          </w:p>
        </w:tc>
      </w:tr>
    </w:tbl>
    <w:p>
      <w:pPr>
        <w:numPr>
          <w:ilvl w:val="0"/>
          <w:numId w:val="0"/>
        </w:numPr>
        <w:autoSpaceDE w:val="0"/>
        <w:autoSpaceDN w:val="0"/>
        <w:spacing w:line="360" w:lineRule="auto"/>
        <w:ind w:leftChars="0"/>
        <w:textAlignment w:val="bottom"/>
        <w:rPr>
          <w:rFonts w:hint="default" w:hAnsi="宋体" w:eastAsia="宋体"/>
          <w:b/>
          <w:color w:val="FF0000"/>
          <w:sz w:val="24"/>
          <w:highlight w:val="none"/>
          <w:lang w:val="en-US" w:eastAsia="zh-CN"/>
        </w:rPr>
      </w:pPr>
      <w:r>
        <w:rPr>
          <w:rFonts w:hint="eastAsia" w:hAnsi="宋体"/>
          <w:b/>
          <w:color w:val="FF0000"/>
          <w:sz w:val="24"/>
          <w:highlight w:val="none"/>
          <w:lang w:val="en-US" w:eastAsia="zh-CN"/>
        </w:rPr>
        <w:t>本次报价包含人员支出费用及备品备件费用，维修配件费用按实结算</w:t>
      </w:r>
    </w:p>
    <w:p>
      <w:pPr>
        <w:numPr>
          <w:ilvl w:val="0"/>
          <w:numId w:val="0"/>
        </w:numPr>
        <w:autoSpaceDE w:val="0"/>
        <w:autoSpaceDN w:val="0"/>
        <w:spacing w:line="360" w:lineRule="auto"/>
        <w:ind w:leftChars="0"/>
        <w:textAlignment w:val="bottom"/>
        <w:rPr>
          <w:rFonts w:hint="eastAsia" w:hAnsi="宋体"/>
          <w:b/>
          <w:sz w:val="24"/>
        </w:rPr>
      </w:pPr>
      <w:r>
        <w:rPr>
          <w:rFonts w:hAnsi="宋体"/>
          <w:b/>
          <w:sz w:val="24"/>
        </w:rPr>
        <w:t>技术需求</w:t>
      </w:r>
      <w:r>
        <w:rPr>
          <w:rFonts w:hint="eastAsia" w:hAnsi="宋体"/>
          <w:b/>
          <w:sz w:val="24"/>
        </w:rPr>
        <w:t>及商务要求</w:t>
      </w:r>
    </w:p>
    <w:p>
      <w:pPr>
        <w:spacing w:line="360" w:lineRule="auto"/>
        <w:outlineLvl w:val="0"/>
        <w:rPr>
          <w:rFonts w:ascii="宋体" w:hAnsi="宋体"/>
          <w:b/>
          <w:color w:val="000000"/>
          <w:kern w:val="0"/>
          <w:sz w:val="24"/>
        </w:rPr>
      </w:pPr>
      <w:r>
        <w:rPr>
          <w:rFonts w:hint="eastAsia" w:ascii="宋体" w:hAnsi="宋体"/>
          <w:b/>
          <w:color w:val="000000"/>
          <w:kern w:val="0"/>
          <w:sz w:val="24"/>
        </w:rPr>
        <w:t>1</w:t>
      </w:r>
      <w:r>
        <w:rPr>
          <w:rFonts w:ascii="宋体" w:hAnsi="宋体"/>
          <w:b/>
          <w:color w:val="000000"/>
          <w:kern w:val="0"/>
          <w:sz w:val="24"/>
        </w:rPr>
        <w:t>.</w:t>
      </w:r>
      <w:r>
        <w:rPr>
          <w:rFonts w:hint="eastAsia" w:ascii="宋体" w:hAnsi="宋体"/>
          <w:b/>
          <w:color w:val="000000"/>
          <w:kern w:val="0"/>
          <w:sz w:val="24"/>
        </w:rPr>
        <w:t>项目概况</w:t>
      </w:r>
    </w:p>
    <w:p>
      <w:pPr>
        <w:spacing w:line="360" w:lineRule="auto"/>
        <w:ind w:firstLine="480" w:firstLineChars="200"/>
        <w:rPr>
          <w:rFonts w:ascii="宋体" w:hAnsi="宋体"/>
          <w:sz w:val="24"/>
        </w:rPr>
      </w:pPr>
      <w:r>
        <w:rPr>
          <w:rFonts w:hint="eastAsia" w:ascii="宋体" w:hAnsi="宋体"/>
          <w:sz w:val="24"/>
        </w:rPr>
        <w:t>随着医院信息化建设水平的不断提高和信息化应用的不断深入，医院信息系统将从原来的基础平台搭建和基础运维管理转变为医院核心业务系统和信息安全的建设与管理，并依据国家医改的政策背景和智慧医院的整体框架进行信息化系统的规划和重构，信息系统的稳定运行尤为重要。</w:t>
      </w:r>
    </w:p>
    <w:p>
      <w:pPr>
        <w:spacing w:line="360" w:lineRule="auto"/>
        <w:ind w:firstLine="480" w:firstLineChars="200"/>
        <w:rPr>
          <w:rFonts w:ascii="宋体" w:hAnsi="宋体"/>
          <w:sz w:val="24"/>
        </w:rPr>
      </w:pPr>
      <w:r>
        <w:rPr>
          <w:rFonts w:hint="eastAsia" w:ascii="宋体" w:hAnsi="宋体"/>
          <w:sz w:val="24"/>
        </w:rPr>
        <w:t>为保障医院桌面终端设备正常运转，提升医院信息化服务水平。通过引进ITSS标准化服务流程机制，建立并完善一站式服务流程体系、提高科室工作效率及信息化管理水平，制定本方案。</w:t>
      </w:r>
    </w:p>
    <w:p>
      <w:pPr>
        <w:spacing w:line="360" w:lineRule="auto"/>
        <w:ind w:firstLine="480" w:firstLineChars="200"/>
        <w:rPr>
          <w:rFonts w:ascii="宋体" w:hAnsi="宋体"/>
          <w:sz w:val="24"/>
        </w:rPr>
      </w:pPr>
      <w:r>
        <w:rPr>
          <w:rFonts w:ascii="宋体" w:hAnsi="宋体"/>
          <w:sz w:val="24"/>
        </w:rPr>
        <w:t>桌面终端设备及其外设的运维服务，其目标是建立安全、可靠、高效的系统运行机制，保障医院系统各设备正常运作。</w:t>
      </w:r>
    </w:p>
    <w:p>
      <w:pPr>
        <w:spacing w:line="360" w:lineRule="auto"/>
        <w:ind w:firstLine="480" w:firstLineChars="200"/>
        <w:rPr>
          <w:rFonts w:ascii="宋体" w:hAnsi="宋体"/>
          <w:sz w:val="24"/>
        </w:rPr>
      </w:pPr>
      <w:r>
        <w:rPr>
          <w:rFonts w:ascii="宋体" w:hAnsi="宋体"/>
          <w:sz w:val="24"/>
        </w:rPr>
        <w:t>具体目标包括：</w:t>
      </w:r>
    </w:p>
    <w:p>
      <w:pPr>
        <w:widowControl/>
        <w:numPr>
          <w:ilvl w:val="0"/>
          <w:numId w:val="1"/>
        </w:numPr>
        <w:spacing w:line="360" w:lineRule="auto"/>
        <w:jc w:val="left"/>
        <w:rPr>
          <w:rFonts w:ascii="宋体" w:hAnsi="宋体"/>
          <w:sz w:val="24"/>
        </w:rPr>
      </w:pPr>
      <w:r>
        <w:rPr>
          <w:rFonts w:ascii="宋体" w:hAnsi="宋体"/>
          <w:sz w:val="24"/>
        </w:rPr>
        <w:t>确保医院办公计算机设备的正常运行</w:t>
      </w:r>
      <w:r>
        <w:rPr>
          <w:rFonts w:hint="eastAsia" w:ascii="宋体" w:hAnsi="宋体"/>
          <w:sz w:val="24"/>
        </w:rPr>
        <w:t>；</w:t>
      </w:r>
    </w:p>
    <w:p>
      <w:pPr>
        <w:widowControl/>
        <w:numPr>
          <w:ilvl w:val="0"/>
          <w:numId w:val="1"/>
        </w:numPr>
        <w:spacing w:line="360" w:lineRule="auto"/>
        <w:jc w:val="left"/>
        <w:rPr>
          <w:rFonts w:ascii="宋体" w:hAnsi="宋体"/>
          <w:sz w:val="24"/>
        </w:rPr>
      </w:pPr>
      <w:r>
        <w:rPr>
          <w:rFonts w:ascii="宋体" w:hAnsi="宋体"/>
          <w:sz w:val="24"/>
        </w:rPr>
        <w:t>确保医院办公应用系统的正常运行；</w:t>
      </w:r>
    </w:p>
    <w:p>
      <w:pPr>
        <w:widowControl/>
        <w:numPr>
          <w:ilvl w:val="0"/>
          <w:numId w:val="1"/>
        </w:numPr>
        <w:spacing w:line="360" w:lineRule="auto"/>
        <w:jc w:val="left"/>
        <w:rPr>
          <w:rFonts w:ascii="宋体" w:hAnsi="宋体"/>
          <w:sz w:val="24"/>
        </w:rPr>
      </w:pPr>
      <w:r>
        <w:rPr>
          <w:rFonts w:ascii="宋体" w:hAnsi="宋体"/>
          <w:sz w:val="24"/>
        </w:rPr>
        <w:t>确保医院各应用系统终端设备的正常运行；</w:t>
      </w:r>
    </w:p>
    <w:p>
      <w:pPr>
        <w:widowControl/>
        <w:numPr>
          <w:ilvl w:val="0"/>
          <w:numId w:val="1"/>
        </w:numPr>
        <w:spacing w:line="360" w:lineRule="auto"/>
        <w:jc w:val="left"/>
        <w:rPr>
          <w:rFonts w:ascii="宋体" w:hAnsi="宋体"/>
          <w:sz w:val="24"/>
        </w:rPr>
      </w:pPr>
      <w:r>
        <w:rPr>
          <w:rFonts w:ascii="宋体" w:hAnsi="宋体"/>
          <w:sz w:val="24"/>
        </w:rPr>
        <w:t>确保医院办公</w:t>
      </w:r>
      <w:r>
        <w:rPr>
          <w:rFonts w:hint="eastAsia" w:ascii="宋体" w:hAnsi="宋体"/>
          <w:sz w:val="24"/>
        </w:rPr>
        <w:t>区域网络</w:t>
      </w:r>
      <w:r>
        <w:rPr>
          <w:rFonts w:ascii="宋体" w:hAnsi="宋体"/>
          <w:sz w:val="24"/>
        </w:rPr>
        <w:t>的正常运行。</w:t>
      </w:r>
    </w:p>
    <w:p>
      <w:pPr>
        <w:widowControl/>
        <w:jc w:val="left"/>
        <w:rPr>
          <w:rFonts w:ascii="宋体" w:hAnsi="Courier New"/>
          <w:sz w:val="24"/>
        </w:rPr>
      </w:pPr>
    </w:p>
    <w:p>
      <w:pPr>
        <w:ind w:firstLine="520"/>
        <w:rPr>
          <w:rFonts w:ascii="宋体" w:hAnsi="宋体"/>
          <w:b/>
          <w:sz w:val="24"/>
        </w:rPr>
      </w:pPr>
    </w:p>
    <w:p>
      <w:pPr>
        <w:spacing w:line="360" w:lineRule="auto"/>
        <w:outlineLvl w:val="0"/>
        <w:rPr>
          <w:rFonts w:ascii="宋体" w:hAnsi="宋体"/>
          <w:b/>
          <w:color w:val="000000"/>
          <w:kern w:val="0"/>
          <w:sz w:val="24"/>
        </w:rPr>
      </w:pPr>
      <w:r>
        <w:rPr>
          <w:rFonts w:ascii="宋体" w:hAnsi="宋体"/>
          <w:b/>
          <w:color w:val="000000"/>
          <w:kern w:val="0"/>
          <w:sz w:val="24"/>
        </w:rPr>
        <w:t>3、技术要求</w:t>
      </w:r>
    </w:p>
    <w:p>
      <w:pPr>
        <w:spacing w:line="360" w:lineRule="auto"/>
        <w:ind w:firstLine="480" w:firstLineChars="200"/>
        <w:rPr>
          <w:rFonts w:hint="eastAsia" w:ascii="宋体" w:hAnsi="宋体" w:eastAsia="宋体"/>
          <w:sz w:val="24"/>
          <w:lang w:val="en-US" w:eastAsia="zh-CN"/>
        </w:rPr>
      </w:pPr>
      <w:r>
        <w:rPr>
          <w:rFonts w:hint="eastAsia" w:ascii="宋体" w:hAnsi="宋体"/>
          <w:sz w:val="24"/>
        </w:rPr>
        <w:t>提供</w:t>
      </w:r>
      <w:r>
        <w:rPr>
          <w:rFonts w:hint="eastAsia" w:ascii="宋体" w:hAnsi="宋体"/>
          <w:sz w:val="24"/>
          <w:lang w:val="en-US" w:eastAsia="zh-CN"/>
        </w:rPr>
        <w:t>浙江省肿瘤医院</w:t>
      </w:r>
      <w:r>
        <w:rPr>
          <w:rFonts w:ascii="宋体" w:hAnsi="宋体"/>
          <w:sz w:val="24"/>
        </w:rPr>
        <w:t>桌面终端运维外包服务项目主要是计算机及其外设的运维服务，其目标是建立安全、可靠、高效的</w:t>
      </w:r>
      <w:r>
        <w:rPr>
          <w:rFonts w:hint="eastAsia" w:ascii="宋体" w:hAnsi="宋体"/>
          <w:sz w:val="24"/>
        </w:rPr>
        <w:t>I</w:t>
      </w:r>
      <w:r>
        <w:rPr>
          <w:rFonts w:ascii="宋体" w:hAnsi="宋体"/>
          <w:sz w:val="24"/>
        </w:rPr>
        <w:t>TSS</w:t>
      </w:r>
      <w:r>
        <w:rPr>
          <w:rFonts w:hint="eastAsia" w:ascii="宋体" w:hAnsi="宋体"/>
          <w:sz w:val="24"/>
        </w:rPr>
        <w:t>标准化服务体系机制</w:t>
      </w:r>
      <w:r>
        <w:rPr>
          <w:rFonts w:ascii="宋体" w:hAnsi="宋体"/>
          <w:sz w:val="24"/>
        </w:rPr>
        <w:t>，保障医院系统各设备正常运作</w:t>
      </w:r>
      <w:r>
        <w:rPr>
          <w:rFonts w:hint="eastAsia" w:ascii="宋体" w:hAnsi="宋体"/>
          <w:sz w:val="24"/>
          <w:lang w:eastAsia="zh-CN"/>
        </w:rPr>
        <w:t>。</w:t>
      </w:r>
    </w:p>
    <w:p>
      <w:pPr>
        <w:keepNext/>
        <w:keepLines/>
        <w:numPr>
          <w:ilvl w:val="0"/>
          <w:numId w:val="0"/>
        </w:numPr>
        <w:tabs>
          <w:tab w:val="left" w:pos="0"/>
        </w:tabs>
        <w:adjustRightInd w:val="0"/>
        <w:spacing w:before="260" w:after="260" w:line="360" w:lineRule="auto"/>
        <w:ind w:leftChars="0"/>
        <w:jc w:val="left"/>
        <w:outlineLvl w:val="1"/>
        <w:rPr>
          <w:rFonts w:ascii="宋体" w:hAnsi="宋体"/>
          <w:b/>
          <w:bCs/>
          <w:sz w:val="24"/>
        </w:rPr>
      </w:pPr>
      <w:r>
        <w:rPr>
          <w:rFonts w:hint="eastAsia" w:ascii="宋体" w:hAnsi="宋体"/>
          <w:b/>
          <w:bCs/>
          <w:sz w:val="24"/>
          <w:lang w:val="en-US" w:eastAsia="zh-CN"/>
        </w:rPr>
        <w:t>2.</w:t>
      </w:r>
      <w:r>
        <w:rPr>
          <w:rFonts w:ascii="宋体" w:hAnsi="宋体"/>
          <w:b/>
          <w:bCs/>
          <w:sz w:val="24"/>
        </w:rPr>
        <w:t>运维服务范围</w:t>
      </w:r>
    </w:p>
    <w:p>
      <w:pPr>
        <w:spacing w:line="460" w:lineRule="exact"/>
        <w:ind w:firstLine="482" w:firstLineChars="200"/>
        <w:rPr>
          <w:rFonts w:ascii="宋体" w:hAnsi="宋体"/>
          <w:sz w:val="24"/>
        </w:rPr>
      </w:pPr>
      <w:r>
        <w:rPr>
          <w:rFonts w:ascii="宋体" w:hAnsi="宋体"/>
          <w:b/>
          <w:sz w:val="24"/>
        </w:rPr>
        <w:tab/>
      </w:r>
      <w:r>
        <w:rPr>
          <w:rFonts w:ascii="宋体" w:hAnsi="宋体"/>
          <w:sz w:val="24"/>
        </w:rPr>
        <w:t>具体运维服务涉及设备如下：</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45"/>
        <w:gridCol w:w="1072"/>
        <w:gridCol w:w="3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5" w:type="dxa"/>
            <w:shd w:val="clear" w:color="auto" w:fill="D9D9D9"/>
            <w:noWrap w:val="0"/>
            <w:vAlign w:val="center"/>
          </w:tcPr>
          <w:p>
            <w:pPr>
              <w:snapToGrid w:val="0"/>
              <w:jc w:val="center"/>
              <w:rPr>
                <w:rFonts w:ascii="宋体" w:hAnsi="宋体"/>
                <w:b/>
                <w:color w:val="auto"/>
                <w:sz w:val="24"/>
              </w:rPr>
            </w:pPr>
            <w:r>
              <w:rPr>
                <w:rFonts w:ascii="宋体" w:hAnsi="宋体"/>
                <w:b/>
                <w:color w:val="auto"/>
                <w:sz w:val="24"/>
              </w:rPr>
              <w:t>设备名称</w:t>
            </w:r>
          </w:p>
        </w:tc>
        <w:tc>
          <w:tcPr>
            <w:tcW w:w="1072" w:type="dxa"/>
            <w:shd w:val="clear" w:color="auto" w:fill="D9D9D9"/>
            <w:noWrap w:val="0"/>
            <w:vAlign w:val="center"/>
          </w:tcPr>
          <w:p>
            <w:pPr>
              <w:snapToGrid w:val="0"/>
              <w:jc w:val="center"/>
              <w:rPr>
                <w:rFonts w:ascii="宋体" w:hAnsi="宋体"/>
                <w:b/>
                <w:color w:val="auto"/>
                <w:sz w:val="24"/>
              </w:rPr>
            </w:pPr>
            <w:r>
              <w:rPr>
                <w:rFonts w:ascii="宋体" w:hAnsi="宋体"/>
                <w:b/>
                <w:color w:val="auto"/>
                <w:sz w:val="24"/>
              </w:rPr>
              <w:t>数量（台）</w:t>
            </w:r>
          </w:p>
        </w:tc>
        <w:tc>
          <w:tcPr>
            <w:tcW w:w="3673" w:type="dxa"/>
            <w:shd w:val="clear" w:color="auto" w:fill="D9D9D9"/>
            <w:noWrap w:val="0"/>
            <w:vAlign w:val="center"/>
          </w:tcPr>
          <w:p>
            <w:pPr>
              <w:snapToGrid w:val="0"/>
              <w:jc w:val="center"/>
              <w:rPr>
                <w:rFonts w:ascii="宋体" w:hAnsi="宋体"/>
                <w:b/>
                <w:color w:val="auto"/>
                <w:sz w:val="24"/>
              </w:rPr>
            </w:pPr>
            <w:r>
              <w:rPr>
                <w:rFonts w:ascii="宋体" w:hAnsi="宋体"/>
                <w:b/>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ascii="宋体" w:hAnsi="宋体"/>
                <w:color w:val="auto"/>
                <w:sz w:val="24"/>
              </w:rPr>
            </w:pPr>
            <w:r>
              <w:rPr>
                <w:rFonts w:ascii="宋体" w:hAnsi="宋体"/>
                <w:color w:val="auto"/>
                <w:sz w:val="24"/>
              </w:rPr>
              <w:t>台式计算机</w:t>
            </w:r>
          </w:p>
        </w:tc>
        <w:tc>
          <w:tcPr>
            <w:tcW w:w="1072" w:type="dxa"/>
            <w:vMerge w:val="restart"/>
            <w:noWrap w:val="0"/>
            <w:vAlign w:val="center"/>
          </w:tcPr>
          <w:p>
            <w:pPr>
              <w:snapToGrid w:val="0"/>
              <w:jc w:val="center"/>
              <w:rPr>
                <w:rFonts w:hint="default" w:ascii="宋体" w:hAnsi="宋体"/>
                <w:color w:val="auto"/>
                <w:sz w:val="24"/>
                <w:lang w:val="en-US"/>
              </w:rPr>
            </w:pPr>
            <w:r>
              <w:rPr>
                <w:rFonts w:hint="eastAsia" w:ascii="宋体" w:hAnsi="宋体"/>
                <w:color w:val="auto"/>
                <w:sz w:val="24"/>
                <w:lang w:val="en-US" w:eastAsia="zh-CN"/>
              </w:rPr>
              <w:t>2900</w:t>
            </w:r>
          </w:p>
        </w:tc>
        <w:tc>
          <w:tcPr>
            <w:tcW w:w="3673" w:type="dxa"/>
            <w:vMerge w:val="restart"/>
            <w:noWrap w:val="0"/>
            <w:vAlign w:val="center"/>
          </w:tcPr>
          <w:p>
            <w:pPr>
              <w:snapToGrid w:val="0"/>
              <w:jc w:val="left"/>
              <w:rPr>
                <w:rFonts w:ascii="宋体" w:hAnsi="宋体"/>
                <w:color w:val="auto"/>
                <w:sz w:val="24"/>
              </w:rPr>
            </w:pPr>
            <w:r>
              <w:rPr>
                <w:rFonts w:ascii="宋体" w:hAnsi="宋体"/>
                <w:color w:val="auto"/>
                <w:sz w:val="24"/>
              </w:rPr>
              <w:t>具体数量以医院实际应用及最终清点核实后为准，包含服务期内新增设备，不再另行收服务费</w:t>
            </w:r>
            <w:r>
              <w:rPr>
                <w:rFonts w:hint="eastAsia" w:ascii="宋体" w:hAnsi="宋体"/>
                <w:color w:val="auto"/>
                <w:sz w:val="24"/>
              </w:rPr>
              <w:t>。</w:t>
            </w:r>
          </w:p>
          <w:p>
            <w:pPr>
              <w:snapToGrid w:val="0"/>
              <w:jc w:val="left"/>
              <w:rPr>
                <w:rFonts w:ascii="Calibri" w:hAnsi="Calibri"/>
                <w:color w:val="auto"/>
                <w:sz w:val="24"/>
              </w:rPr>
            </w:pPr>
            <w:r>
              <w:rPr>
                <w:rFonts w:hint="eastAsia" w:ascii="宋体" w:hAnsi="宋体"/>
                <w:color w:val="auto"/>
                <w:sz w:val="24"/>
              </w:rPr>
              <w:t>服务范围</w:t>
            </w:r>
            <w:r>
              <w:rPr>
                <w:rFonts w:hint="eastAsia" w:ascii="宋体" w:hAnsi="宋体"/>
                <w:color w:val="auto"/>
                <w:sz w:val="24"/>
                <w:lang w:val="en-US" w:eastAsia="zh-CN"/>
              </w:rPr>
              <w:t>为省肿瘤医院杭州半山院区</w:t>
            </w:r>
            <w:r>
              <w:rPr>
                <w:rFonts w:hint="eastAsia" w:ascii="宋体" w:hAnsi="宋体"/>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ascii="宋体" w:hAnsi="宋体"/>
                <w:color w:val="auto"/>
                <w:sz w:val="24"/>
              </w:rPr>
            </w:pPr>
            <w:r>
              <w:rPr>
                <w:rFonts w:ascii="宋体" w:hAnsi="宋体"/>
                <w:color w:val="auto"/>
                <w:sz w:val="24"/>
              </w:rPr>
              <w:t>便携式计算机</w:t>
            </w:r>
          </w:p>
        </w:tc>
        <w:tc>
          <w:tcPr>
            <w:tcW w:w="1072" w:type="dxa"/>
            <w:vMerge w:val="continue"/>
            <w:noWrap w:val="0"/>
            <w:vAlign w:val="center"/>
          </w:tcPr>
          <w:p>
            <w:pPr>
              <w:snapToGrid w:val="0"/>
              <w:jc w:val="center"/>
              <w:rPr>
                <w:rFonts w:ascii="宋体" w:hAnsi="宋体"/>
                <w:color w:val="auto"/>
                <w:sz w:val="24"/>
              </w:rPr>
            </w:pPr>
          </w:p>
        </w:tc>
        <w:tc>
          <w:tcPr>
            <w:tcW w:w="3673" w:type="dxa"/>
            <w:vMerge w:val="continue"/>
            <w:noWrap w:val="0"/>
            <w:vAlign w:val="center"/>
          </w:tcPr>
          <w:p>
            <w:pPr>
              <w:snapToGrid w:val="0"/>
              <w:jc w:val="left"/>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hint="eastAsia" w:ascii="宋体" w:hAnsi="宋体" w:eastAsia="宋体"/>
                <w:color w:val="auto"/>
                <w:sz w:val="24"/>
                <w:lang w:eastAsia="zh-CN"/>
              </w:rPr>
            </w:pPr>
            <w:r>
              <w:rPr>
                <w:rFonts w:hint="eastAsia" w:ascii="宋体" w:hAnsi="宋体"/>
                <w:color w:val="auto"/>
                <w:sz w:val="24"/>
                <w:lang w:val="en-US" w:eastAsia="zh-CN"/>
              </w:rPr>
              <w:t>打印机</w:t>
            </w:r>
          </w:p>
        </w:tc>
        <w:tc>
          <w:tcPr>
            <w:tcW w:w="1072" w:type="dxa"/>
            <w:noWrap w:val="0"/>
            <w:vAlign w:val="center"/>
          </w:tcPr>
          <w:p>
            <w:pPr>
              <w:snapToGrid w:val="0"/>
              <w:jc w:val="center"/>
              <w:rPr>
                <w:rFonts w:hint="default" w:ascii="宋体" w:hAnsi="宋体" w:eastAsia="宋体"/>
                <w:color w:val="auto"/>
                <w:sz w:val="24"/>
                <w:lang w:val="en-US" w:eastAsia="zh-CN"/>
              </w:rPr>
            </w:pPr>
            <w:r>
              <w:rPr>
                <w:rFonts w:hint="eastAsia" w:ascii="宋体" w:hAnsi="宋体"/>
                <w:color w:val="auto"/>
                <w:sz w:val="24"/>
                <w:lang w:val="en-US" w:eastAsia="zh-CN"/>
              </w:rPr>
              <w:t>1100</w:t>
            </w:r>
          </w:p>
        </w:tc>
        <w:tc>
          <w:tcPr>
            <w:tcW w:w="3673" w:type="dxa"/>
            <w:vMerge w:val="continue"/>
            <w:noWrap w:val="0"/>
            <w:vAlign w:val="center"/>
          </w:tcPr>
          <w:p>
            <w:pPr>
              <w:snapToGrid w:val="0"/>
              <w:jc w:val="left"/>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ascii="宋体" w:hAnsi="宋体"/>
                <w:color w:val="auto"/>
                <w:sz w:val="24"/>
              </w:rPr>
            </w:pPr>
            <w:r>
              <w:rPr>
                <w:rFonts w:ascii="宋体" w:hAnsi="宋体"/>
                <w:color w:val="auto"/>
                <w:sz w:val="24"/>
              </w:rPr>
              <w:t>读卡器</w:t>
            </w:r>
          </w:p>
        </w:tc>
        <w:tc>
          <w:tcPr>
            <w:tcW w:w="1072" w:type="dxa"/>
            <w:noWrap w:val="0"/>
            <w:vAlign w:val="center"/>
          </w:tcPr>
          <w:p>
            <w:pPr>
              <w:snapToGrid w:val="0"/>
              <w:jc w:val="center"/>
              <w:rPr>
                <w:rFonts w:hint="default" w:ascii="宋体" w:hAnsi="宋体" w:eastAsia="宋体"/>
                <w:color w:val="auto"/>
                <w:sz w:val="24"/>
                <w:lang w:val="en-US" w:eastAsia="zh-CN"/>
              </w:rPr>
            </w:pPr>
            <w:r>
              <w:rPr>
                <w:rFonts w:hint="eastAsia" w:ascii="宋体" w:hAnsi="宋体"/>
                <w:color w:val="auto"/>
                <w:sz w:val="24"/>
                <w:lang w:val="en-US" w:eastAsia="zh-CN"/>
              </w:rPr>
              <w:t>502</w:t>
            </w:r>
          </w:p>
        </w:tc>
        <w:tc>
          <w:tcPr>
            <w:tcW w:w="3673" w:type="dxa"/>
            <w:vMerge w:val="continue"/>
            <w:noWrap w:val="0"/>
            <w:vAlign w:val="center"/>
          </w:tcPr>
          <w:p>
            <w:pPr>
              <w:snapToGrid w:val="0"/>
              <w:jc w:val="left"/>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ascii="宋体" w:hAnsi="宋体"/>
                <w:color w:val="auto"/>
                <w:sz w:val="24"/>
              </w:rPr>
            </w:pPr>
            <w:r>
              <w:rPr>
                <w:rFonts w:ascii="宋体" w:hAnsi="宋体"/>
                <w:color w:val="auto"/>
                <w:sz w:val="24"/>
              </w:rPr>
              <w:t>PDA</w:t>
            </w:r>
          </w:p>
        </w:tc>
        <w:tc>
          <w:tcPr>
            <w:tcW w:w="1072" w:type="dxa"/>
            <w:noWrap w:val="0"/>
            <w:vAlign w:val="center"/>
          </w:tcPr>
          <w:p>
            <w:pPr>
              <w:snapToGrid w:val="0"/>
              <w:jc w:val="center"/>
              <w:rPr>
                <w:rFonts w:hint="default" w:ascii="宋体" w:hAnsi="宋体" w:eastAsia="宋体"/>
                <w:color w:val="auto"/>
                <w:sz w:val="24"/>
                <w:lang w:val="en-US" w:eastAsia="zh-CN"/>
              </w:rPr>
            </w:pPr>
            <w:r>
              <w:rPr>
                <w:rFonts w:hint="eastAsia" w:ascii="宋体" w:hAnsi="宋体"/>
                <w:color w:val="auto"/>
                <w:sz w:val="24"/>
                <w:lang w:val="en-US" w:eastAsia="zh-CN"/>
              </w:rPr>
              <w:t>409</w:t>
            </w:r>
          </w:p>
        </w:tc>
        <w:tc>
          <w:tcPr>
            <w:tcW w:w="3673" w:type="dxa"/>
            <w:vMerge w:val="continue"/>
            <w:noWrap w:val="0"/>
            <w:vAlign w:val="center"/>
          </w:tcPr>
          <w:p>
            <w:pPr>
              <w:snapToGrid w:val="0"/>
              <w:jc w:val="left"/>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hint="default" w:ascii="宋体" w:hAnsi="宋体" w:eastAsia="宋体"/>
                <w:color w:val="auto"/>
                <w:sz w:val="24"/>
                <w:lang w:val="en-US" w:eastAsia="zh-CN"/>
              </w:rPr>
            </w:pPr>
            <w:r>
              <w:rPr>
                <w:rFonts w:ascii="宋体" w:hAnsi="宋体"/>
                <w:color w:val="auto"/>
                <w:sz w:val="24"/>
              </w:rPr>
              <w:t>扫描枪</w:t>
            </w:r>
            <w:r>
              <w:rPr>
                <w:rFonts w:hint="eastAsia" w:ascii="宋体" w:hAnsi="宋体"/>
                <w:color w:val="auto"/>
                <w:sz w:val="24"/>
                <w:lang w:val="en-US" w:eastAsia="zh-CN"/>
              </w:rPr>
              <w:t>扫描平台</w:t>
            </w:r>
          </w:p>
        </w:tc>
        <w:tc>
          <w:tcPr>
            <w:tcW w:w="1072" w:type="dxa"/>
            <w:noWrap w:val="0"/>
            <w:vAlign w:val="center"/>
          </w:tcPr>
          <w:p>
            <w:pPr>
              <w:snapToGrid w:val="0"/>
              <w:jc w:val="center"/>
              <w:rPr>
                <w:rFonts w:hint="default" w:ascii="宋体" w:hAnsi="宋体" w:eastAsia="宋体"/>
                <w:color w:val="auto"/>
                <w:sz w:val="24"/>
                <w:lang w:val="en-US" w:eastAsia="zh-CN"/>
              </w:rPr>
            </w:pPr>
            <w:r>
              <w:rPr>
                <w:rFonts w:hint="eastAsia" w:ascii="宋体" w:hAnsi="宋体"/>
                <w:color w:val="auto"/>
                <w:sz w:val="24"/>
                <w:lang w:val="en-US" w:eastAsia="zh-CN"/>
              </w:rPr>
              <w:t>448</w:t>
            </w:r>
          </w:p>
        </w:tc>
        <w:tc>
          <w:tcPr>
            <w:tcW w:w="3673" w:type="dxa"/>
            <w:vMerge w:val="continue"/>
            <w:noWrap w:val="0"/>
            <w:vAlign w:val="center"/>
          </w:tcPr>
          <w:p>
            <w:pPr>
              <w:snapToGrid w:val="0"/>
              <w:jc w:val="left"/>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ascii="宋体" w:hAnsi="宋体"/>
                <w:color w:val="auto"/>
                <w:sz w:val="24"/>
              </w:rPr>
            </w:pPr>
            <w:r>
              <w:rPr>
                <w:rFonts w:hint="eastAsia" w:ascii="宋体" w:hAnsi="宋体"/>
                <w:color w:val="auto"/>
                <w:sz w:val="24"/>
              </w:rPr>
              <w:t>语音报价器</w:t>
            </w:r>
          </w:p>
        </w:tc>
        <w:tc>
          <w:tcPr>
            <w:tcW w:w="1072" w:type="dxa"/>
            <w:noWrap w:val="0"/>
            <w:vAlign w:val="center"/>
          </w:tcPr>
          <w:p>
            <w:pPr>
              <w:snapToGrid w:val="0"/>
              <w:jc w:val="center"/>
              <w:rPr>
                <w:rFonts w:hint="default" w:ascii="宋体" w:hAnsi="宋体" w:eastAsia="宋体"/>
                <w:color w:val="auto"/>
                <w:sz w:val="24"/>
                <w:lang w:val="en-US" w:eastAsia="zh-CN"/>
              </w:rPr>
            </w:pPr>
            <w:r>
              <w:rPr>
                <w:rFonts w:hint="eastAsia" w:ascii="宋体" w:hAnsi="宋体"/>
                <w:color w:val="auto"/>
                <w:sz w:val="24"/>
                <w:lang w:val="en-US" w:eastAsia="zh-CN"/>
              </w:rPr>
              <w:t>21</w:t>
            </w:r>
          </w:p>
        </w:tc>
        <w:tc>
          <w:tcPr>
            <w:tcW w:w="3673" w:type="dxa"/>
            <w:vMerge w:val="continue"/>
            <w:noWrap w:val="0"/>
            <w:vAlign w:val="center"/>
          </w:tcPr>
          <w:p>
            <w:pPr>
              <w:snapToGrid w:val="0"/>
              <w:jc w:val="left"/>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hint="eastAsia" w:ascii="宋体" w:hAnsi="宋体" w:eastAsia="宋体"/>
                <w:color w:val="auto"/>
                <w:sz w:val="24"/>
                <w:lang w:eastAsia="zh-CN"/>
              </w:rPr>
            </w:pPr>
            <w:r>
              <w:rPr>
                <w:rFonts w:ascii="宋体" w:hAnsi="宋体"/>
                <w:color w:val="auto"/>
                <w:sz w:val="24"/>
              </w:rPr>
              <w:t>自助</w:t>
            </w:r>
            <w:r>
              <w:rPr>
                <w:rFonts w:hint="eastAsia" w:ascii="宋体" w:hAnsi="宋体"/>
                <w:color w:val="auto"/>
                <w:sz w:val="24"/>
                <w:lang w:val="en-US" w:eastAsia="zh-CN"/>
              </w:rPr>
              <w:t>机</w:t>
            </w:r>
          </w:p>
        </w:tc>
        <w:tc>
          <w:tcPr>
            <w:tcW w:w="1072" w:type="dxa"/>
            <w:noWrap w:val="0"/>
            <w:vAlign w:val="center"/>
          </w:tcPr>
          <w:p>
            <w:pPr>
              <w:snapToGrid w:val="0"/>
              <w:jc w:val="center"/>
              <w:rPr>
                <w:rFonts w:hint="default" w:ascii="宋体" w:hAnsi="宋体" w:eastAsia="宋体"/>
                <w:color w:val="auto"/>
                <w:sz w:val="24"/>
                <w:lang w:val="en-US" w:eastAsia="zh-CN"/>
              </w:rPr>
            </w:pPr>
            <w:r>
              <w:rPr>
                <w:rFonts w:hint="eastAsia" w:ascii="宋体" w:hAnsi="宋体"/>
                <w:color w:val="auto"/>
                <w:sz w:val="24"/>
                <w:lang w:val="en-US" w:eastAsia="zh-CN"/>
              </w:rPr>
              <w:t>60</w:t>
            </w:r>
          </w:p>
        </w:tc>
        <w:tc>
          <w:tcPr>
            <w:tcW w:w="3673" w:type="dxa"/>
            <w:vMerge w:val="continue"/>
            <w:noWrap w:val="0"/>
            <w:vAlign w:val="center"/>
          </w:tcPr>
          <w:p>
            <w:pPr>
              <w:snapToGrid w:val="0"/>
              <w:jc w:val="left"/>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ascii="宋体" w:hAnsi="宋体"/>
                <w:color w:val="auto"/>
                <w:sz w:val="24"/>
              </w:rPr>
            </w:pPr>
            <w:r>
              <w:rPr>
                <w:rFonts w:ascii="宋体" w:hAnsi="宋体"/>
                <w:color w:val="auto"/>
                <w:sz w:val="24"/>
              </w:rPr>
              <w:t>网络交换机等（非核心设备）</w:t>
            </w:r>
          </w:p>
        </w:tc>
        <w:tc>
          <w:tcPr>
            <w:tcW w:w="1072" w:type="dxa"/>
            <w:noWrap w:val="0"/>
            <w:vAlign w:val="center"/>
          </w:tcPr>
          <w:p>
            <w:pPr>
              <w:snapToGrid w:val="0"/>
              <w:jc w:val="center"/>
              <w:rPr>
                <w:rFonts w:hint="default" w:ascii="宋体" w:hAnsi="宋体" w:eastAsia="宋体"/>
                <w:color w:val="auto"/>
                <w:sz w:val="24"/>
                <w:lang w:val="en-US" w:eastAsia="zh-CN"/>
              </w:rPr>
            </w:pPr>
            <w:r>
              <w:rPr>
                <w:rFonts w:hint="eastAsia" w:ascii="宋体" w:hAnsi="宋体"/>
                <w:color w:val="auto"/>
                <w:sz w:val="24"/>
                <w:lang w:val="en-US" w:eastAsia="zh-CN"/>
              </w:rPr>
              <w:t>480</w:t>
            </w:r>
          </w:p>
        </w:tc>
        <w:tc>
          <w:tcPr>
            <w:tcW w:w="3673" w:type="dxa"/>
            <w:vMerge w:val="continue"/>
            <w:noWrap w:val="0"/>
            <w:vAlign w:val="center"/>
          </w:tcPr>
          <w:p>
            <w:pPr>
              <w:snapToGrid w:val="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645" w:type="dxa"/>
            <w:noWrap w:val="0"/>
            <w:vAlign w:val="center"/>
          </w:tcPr>
          <w:p>
            <w:pPr>
              <w:snapToGrid w:val="0"/>
              <w:jc w:val="center"/>
              <w:rPr>
                <w:rFonts w:hint="eastAsia" w:ascii="宋体" w:hAnsi="宋体" w:eastAsia="宋体"/>
                <w:color w:val="auto"/>
                <w:sz w:val="24"/>
                <w:lang w:val="en-US" w:eastAsia="zh-CN"/>
              </w:rPr>
            </w:pPr>
            <w:r>
              <w:rPr>
                <w:rFonts w:hint="eastAsia" w:ascii="宋体" w:hAnsi="宋体"/>
                <w:color w:val="auto"/>
                <w:sz w:val="24"/>
                <w:lang w:val="en-US" w:eastAsia="zh-CN"/>
              </w:rPr>
              <w:t>弱电间</w:t>
            </w:r>
          </w:p>
        </w:tc>
        <w:tc>
          <w:tcPr>
            <w:tcW w:w="1072" w:type="dxa"/>
            <w:noWrap w:val="0"/>
            <w:vAlign w:val="center"/>
          </w:tcPr>
          <w:p>
            <w:pPr>
              <w:snapToGrid w:val="0"/>
              <w:jc w:val="center"/>
              <w:rPr>
                <w:rFonts w:hint="default" w:ascii="宋体" w:hAnsi="宋体"/>
                <w:color w:val="auto"/>
                <w:sz w:val="24"/>
                <w:lang w:val="en-US" w:eastAsia="zh-CN"/>
              </w:rPr>
            </w:pPr>
            <w:r>
              <w:rPr>
                <w:rFonts w:hint="eastAsia" w:ascii="宋体" w:hAnsi="宋体"/>
                <w:color w:val="auto"/>
                <w:sz w:val="24"/>
                <w:lang w:val="en-US" w:eastAsia="zh-CN"/>
              </w:rPr>
              <w:t>75</w:t>
            </w:r>
          </w:p>
        </w:tc>
        <w:tc>
          <w:tcPr>
            <w:tcW w:w="3673" w:type="dxa"/>
            <w:vMerge w:val="continue"/>
            <w:noWrap w:val="0"/>
            <w:vAlign w:val="center"/>
          </w:tcPr>
          <w:p>
            <w:pPr>
              <w:snapToGrid w:val="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2" w:hRule="atLeast"/>
          <w:jc w:val="center"/>
        </w:trPr>
        <w:tc>
          <w:tcPr>
            <w:tcW w:w="3645" w:type="dxa"/>
            <w:noWrap w:val="0"/>
            <w:vAlign w:val="center"/>
          </w:tcPr>
          <w:p>
            <w:pPr>
              <w:snapToGrid w:val="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诊间屏</w:t>
            </w:r>
          </w:p>
        </w:tc>
        <w:tc>
          <w:tcPr>
            <w:tcW w:w="1072" w:type="dxa"/>
            <w:noWrap w:val="0"/>
            <w:vAlign w:val="center"/>
          </w:tcPr>
          <w:p>
            <w:pPr>
              <w:snapToGrid w:val="0"/>
              <w:jc w:val="center"/>
              <w:rPr>
                <w:rFonts w:hint="default"/>
                <w:lang w:val="en-US" w:eastAsia="zh-CN"/>
              </w:rPr>
            </w:pPr>
            <w:r>
              <w:rPr>
                <w:rFonts w:hint="eastAsia"/>
                <w:lang w:val="en-US" w:eastAsia="zh-CN"/>
              </w:rPr>
              <w:t>90</w:t>
            </w:r>
          </w:p>
        </w:tc>
        <w:tc>
          <w:tcPr>
            <w:tcW w:w="3673" w:type="dxa"/>
            <w:vMerge w:val="continue"/>
            <w:noWrap w:val="0"/>
            <w:vAlign w:val="center"/>
          </w:tcPr>
          <w:p>
            <w:pPr>
              <w:snapToGrid w:val="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2" w:hRule="atLeast"/>
          <w:jc w:val="center"/>
        </w:trPr>
        <w:tc>
          <w:tcPr>
            <w:tcW w:w="3645" w:type="dxa"/>
            <w:noWrap w:val="0"/>
            <w:vAlign w:val="center"/>
          </w:tcPr>
          <w:p>
            <w:pPr>
              <w:snapToGrid w:val="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移动推车</w:t>
            </w:r>
          </w:p>
        </w:tc>
        <w:tc>
          <w:tcPr>
            <w:tcW w:w="1072" w:type="dxa"/>
            <w:noWrap w:val="0"/>
            <w:vAlign w:val="center"/>
          </w:tcPr>
          <w:p>
            <w:pPr>
              <w:snapToGrid w:val="0"/>
              <w:jc w:val="center"/>
              <w:rPr>
                <w:rFonts w:hint="default"/>
                <w:lang w:val="en-US" w:eastAsia="zh-CN"/>
              </w:rPr>
            </w:pPr>
            <w:r>
              <w:rPr>
                <w:rFonts w:hint="eastAsia"/>
                <w:lang w:val="en-US" w:eastAsia="zh-CN"/>
              </w:rPr>
              <w:t>98</w:t>
            </w:r>
          </w:p>
        </w:tc>
        <w:tc>
          <w:tcPr>
            <w:tcW w:w="3673" w:type="dxa"/>
            <w:noWrap w:val="0"/>
            <w:vAlign w:val="center"/>
          </w:tcPr>
          <w:p>
            <w:pPr>
              <w:snapToGrid w:val="0"/>
              <w:jc w:val="center"/>
              <w:rPr>
                <w:rFonts w:ascii="宋体" w:hAnsi="宋体"/>
                <w:color w:val="auto"/>
                <w:sz w:val="24"/>
              </w:rPr>
            </w:pPr>
          </w:p>
        </w:tc>
      </w:tr>
    </w:tbl>
    <w:p>
      <w:pPr>
        <w:keepNext/>
        <w:keepLines/>
        <w:numPr>
          <w:ilvl w:val="0"/>
          <w:numId w:val="0"/>
        </w:numPr>
        <w:tabs>
          <w:tab w:val="left" w:pos="0"/>
        </w:tabs>
        <w:adjustRightInd w:val="0"/>
        <w:spacing w:before="260" w:after="260" w:line="360" w:lineRule="auto"/>
        <w:ind w:leftChars="0"/>
        <w:jc w:val="left"/>
        <w:outlineLvl w:val="1"/>
        <w:rPr>
          <w:rFonts w:ascii="宋体" w:hAnsi="宋体"/>
          <w:b/>
          <w:bCs/>
          <w:sz w:val="24"/>
        </w:rPr>
      </w:pPr>
      <w:r>
        <w:rPr>
          <w:rFonts w:hint="eastAsia" w:ascii="宋体" w:hAnsi="宋体"/>
          <w:b/>
          <w:bCs/>
          <w:sz w:val="24"/>
          <w:lang w:val="en-US" w:eastAsia="zh-CN"/>
        </w:rPr>
        <w:t>3.</w:t>
      </w:r>
      <w:r>
        <w:rPr>
          <w:rFonts w:hint="eastAsia" w:ascii="宋体" w:hAnsi="宋体"/>
          <w:b/>
          <w:bCs/>
          <w:sz w:val="24"/>
        </w:rPr>
        <w:t>技术服务主要内容</w:t>
      </w:r>
    </w:p>
    <w:p>
      <w:pPr>
        <w:spacing w:line="360" w:lineRule="auto"/>
        <w:ind w:left="426"/>
        <w:rPr>
          <w:rFonts w:ascii="宋体" w:hAnsi="宋体"/>
          <w:sz w:val="24"/>
        </w:rPr>
      </w:pPr>
      <w:r>
        <w:rPr>
          <w:rFonts w:ascii="宋体" w:hAnsi="宋体"/>
          <w:sz w:val="24"/>
        </w:rPr>
        <w:t>1)</w:t>
      </w:r>
      <w:r>
        <w:rPr>
          <w:rFonts w:hint="eastAsia" w:ascii="宋体" w:hAnsi="宋体" w:cs="宋体"/>
          <w:color w:val="000000"/>
          <w:kern w:val="0"/>
          <w:sz w:val="24"/>
        </w:rPr>
        <w:t>驻场人员要求：</w:t>
      </w:r>
      <w:r>
        <w:rPr>
          <w:rFonts w:hint="eastAsia" w:ascii="宋体" w:hAnsi="宋体"/>
          <w:sz w:val="24"/>
        </w:rPr>
        <w:t>需至少提供</w:t>
      </w:r>
      <w:r>
        <w:rPr>
          <w:rFonts w:hint="eastAsia" w:ascii="宋体" w:hAnsi="宋体"/>
          <w:sz w:val="24"/>
          <w:lang w:val="en-US" w:eastAsia="zh-CN"/>
        </w:rPr>
        <w:t>5</w:t>
      </w:r>
      <w:r>
        <w:rPr>
          <w:rFonts w:hint="eastAsia" w:ascii="宋体" w:hAnsi="宋体"/>
          <w:sz w:val="24"/>
        </w:rPr>
        <w:t>名驻点医院工程师，紧急情况需要临时另外增派人员至满足任务完成期限为止。</w:t>
      </w:r>
    </w:p>
    <w:p>
      <w:pPr>
        <w:spacing w:line="360" w:lineRule="auto"/>
        <w:ind w:left="426"/>
        <w:rPr>
          <w:rFonts w:ascii="宋体" w:hAnsi="宋体"/>
          <w:sz w:val="24"/>
        </w:rPr>
      </w:pPr>
      <w:r>
        <w:rPr>
          <w:rFonts w:hint="eastAsia" w:ascii="宋体" w:hAnsi="宋体"/>
          <w:sz w:val="24"/>
        </w:rPr>
        <w:t>2）客服服务：信息类固定热线电话接听与工单受理服务；</w:t>
      </w:r>
    </w:p>
    <w:p>
      <w:pPr>
        <w:spacing w:line="360" w:lineRule="auto"/>
        <w:ind w:left="426"/>
        <w:rPr>
          <w:rFonts w:ascii="宋体" w:hAnsi="宋体"/>
          <w:sz w:val="24"/>
        </w:rPr>
      </w:pPr>
      <w:r>
        <w:rPr>
          <w:rFonts w:hint="eastAsia" w:ascii="宋体" w:hAnsi="宋体"/>
          <w:sz w:val="24"/>
        </w:rPr>
        <w:t>3）运维平台及数据服务：运维数据服务（含运维平台工具配备）</w:t>
      </w:r>
    </w:p>
    <w:p>
      <w:pPr>
        <w:spacing w:line="360" w:lineRule="auto"/>
        <w:ind w:left="426"/>
        <w:rPr>
          <w:rFonts w:ascii="宋体" w:hAnsi="宋体"/>
          <w:sz w:val="24"/>
        </w:rPr>
      </w:pPr>
      <w:r>
        <w:rPr>
          <w:rFonts w:hint="eastAsia" w:ascii="宋体" w:hAnsi="宋体"/>
          <w:sz w:val="24"/>
        </w:rPr>
        <w:t>4）应急支持服务：提供3</w:t>
      </w:r>
      <w:r>
        <w:rPr>
          <w:rFonts w:ascii="宋体" w:hAnsi="宋体"/>
          <w:sz w:val="24"/>
        </w:rPr>
        <w:t>65*</w:t>
      </w:r>
      <w:r>
        <w:rPr>
          <w:rFonts w:hint="eastAsia" w:ascii="宋体" w:hAnsi="宋体"/>
          <w:sz w:val="24"/>
        </w:rPr>
        <w:t>2</w:t>
      </w:r>
      <w:r>
        <w:rPr>
          <w:rFonts w:ascii="宋体" w:hAnsi="宋体"/>
          <w:sz w:val="24"/>
        </w:rPr>
        <w:t>4</w:t>
      </w:r>
      <w:r>
        <w:rPr>
          <w:rFonts w:hint="eastAsia" w:ascii="宋体" w:hAnsi="宋体"/>
          <w:sz w:val="24"/>
        </w:rPr>
        <w:t>小时应急支持服务；</w:t>
      </w:r>
    </w:p>
    <w:p>
      <w:pPr>
        <w:spacing w:line="360" w:lineRule="auto"/>
        <w:ind w:left="426"/>
        <w:rPr>
          <w:rFonts w:ascii="宋体" w:hAnsi="宋体"/>
          <w:sz w:val="24"/>
        </w:rPr>
      </w:pPr>
      <w:r>
        <w:rPr>
          <w:rFonts w:ascii="宋体" w:hAnsi="宋体"/>
          <w:sz w:val="24"/>
        </w:rPr>
        <w:t>5</w:t>
      </w:r>
      <w:r>
        <w:rPr>
          <w:rFonts w:hint="eastAsia" w:ascii="宋体" w:hAnsi="宋体"/>
          <w:sz w:val="24"/>
        </w:rPr>
        <w:t>）资产管理服务：</w:t>
      </w:r>
      <w:r>
        <w:rPr>
          <w:rFonts w:hint="eastAsia" w:ascii="宋体" w:hAnsi="宋体" w:cs="宋体"/>
          <w:sz w:val="24"/>
        </w:rPr>
        <w:t>根据院方需求协助院方对IT资产管理服务</w:t>
      </w:r>
      <w:r>
        <w:rPr>
          <w:rFonts w:hint="eastAsia" w:ascii="宋体" w:hAnsi="宋体"/>
          <w:sz w:val="24"/>
        </w:rPr>
        <w:t>；</w:t>
      </w:r>
    </w:p>
    <w:p>
      <w:pPr>
        <w:spacing w:line="360" w:lineRule="auto"/>
        <w:ind w:left="426"/>
        <w:rPr>
          <w:rFonts w:ascii="宋体" w:hAnsi="宋体"/>
          <w:sz w:val="24"/>
        </w:rPr>
      </w:pPr>
      <w:r>
        <w:rPr>
          <w:rFonts w:ascii="宋体" w:hAnsi="宋体"/>
          <w:sz w:val="24"/>
        </w:rPr>
        <w:t>6</w:t>
      </w:r>
      <w:r>
        <w:rPr>
          <w:rFonts w:hint="eastAsia" w:ascii="宋体" w:hAnsi="宋体"/>
          <w:sz w:val="24"/>
        </w:rPr>
        <w:t>）</w:t>
      </w:r>
      <w:r>
        <w:rPr>
          <w:rFonts w:ascii="宋体" w:hAnsi="宋体"/>
          <w:sz w:val="24"/>
        </w:rPr>
        <w:t>安全服务</w:t>
      </w:r>
      <w:r>
        <w:rPr>
          <w:rFonts w:hint="eastAsia" w:ascii="宋体" w:hAnsi="宋体"/>
          <w:sz w:val="24"/>
        </w:rPr>
        <w:t>：协助甲方针对安全设备设施、系统进行升级和常规安全维护服务；</w:t>
      </w:r>
    </w:p>
    <w:p>
      <w:pPr>
        <w:keepNext/>
        <w:keepLines/>
        <w:numPr>
          <w:ilvl w:val="0"/>
          <w:numId w:val="0"/>
        </w:numPr>
        <w:tabs>
          <w:tab w:val="left" w:pos="0"/>
        </w:tabs>
        <w:adjustRightInd w:val="0"/>
        <w:spacing w:before="260" w:after="260" w:line="360" w:lineRule="auto"/>
        <w:ind w:leftChars="0"/>
        <w:jc w:val="left"/>
        <w:outlineLvl w:val="1"/>
        <w:rPr>
          <w:rFonts w:ascii="宋体" w:hAnsi="宋体"/>
          <w:b/>
          <w:bCs/>
          <w:sz w:val="24"/>
        </w:rPr>
      </w:pPr>
      <w:r>
        <w:rPr>
          <w:rFonts w:hint="eastAsia" w:ascii="宋体" w:hAnsi="宋体"/>
          <w:b/>
          <w:bCs/>
          <w:sz w:val="24"/>
          <w:lang w:val="en-US" w:eastAsia="zh-CN"/>
        </w:rPr>
        <w:t>4.</w:t>
      </w:r>
      <w:r>
        <w:rPr>
          <w:rFonts w:hint="eastAsia" w:ascii="宋体" w:hAnsi="宋体"/>
          <w:b/>
          <w:bCs/>
          <w:sz w:val="24"/>
        </w:rPr>
        <w:t>服务时间要求</w:t>
      </w:r>
    </w:p>
    <w:p>
      <w:pPr>
        <w:spacing w:line="360" w:lineRule="auto"/>
        <w:ind w:left="426"/>
        <w:rPr>
          <w:rFonts w:ascii="宋体" w:hAnsi="宋体" w:cs="宋体"/>
          <w:sz w:val="24"/>
        </w:rPr>
      </w:pPr>
      <w:r>
        <w:rPr>
          <w:rFonts w:hint="eastAsia" w:ascii="宋体" w:hAnsi="宋体" w:cs="宋体"/>
          <w:sz w:val="24"/>
        </w:rPr>
        <w:t>1）服务响应时间要求：3</w:t>
      </w:r>
      <w:r>
        <w:rPr>
          <w:rFonts w:ascii="宋体" w:hAnsi="宋体" w:cs="宋体"/>
          <w:sz w:val="24"/>
        </w:rPr>
        <w:t>65*</w:t>
      </w:r>
      <w:r>
        <w:rPr>
          <w:rFonts w:hint="eastAsia" w:ascii="宋体" w:hAnsi="宋体" w:cs="宋体"/>
          <w:sz w:val="24"/>
        </w:rPr>
        <w:t>7</w:t>
      </w:r>
      <w:r>
        <w:rPr>
          <w:rFonts w:ascii="宋体" w:hAnsi="宋体" w:cs="宋体"/>
          <w:sz w:val="24"/>
        </w:rPr>
        <w:t>*24</w:t>
      </w:r>
      <w:r>
        <w:rPr>
          <w:rFonts w:hint="eastAsia" w:ascii="宋体" w:hAnsi="宋体" w:cs="宋体"/>
          <w:sz w:val="24"/>
        </w:rPr>
        <w:t>小时服务响应。</w:t>
      </w:r>
    </w:p>
    <w:p>
      <w:pPr>
        <w:spacing w:line="360" w:lineRule="auto"/>
        <w:ind w:left="426"/>
        <w:rPr>
          <w:rFonts w:hint="default" w:ascii="宋体" w:hAnsi="宋体" w:eastAsia="宋体" w:cs="宋体"/>
          <w:sz w:val="24"/>
          <w:lang w:val="en-US" w:eastAsia="zh-CN"/>
        </w:rPr>
      </w:pPr>
      <w:r>
        <w:rPr>
          <w:rFonts w:hint="eastAsia" w:ascii="宋体" w:hAnsi="宋体" w:cs="宋体"/>
          <w:sz w:val="24"/>
        </w:rPr>
        <w:t>2）</w:t>
      </w:r>
      <w:r>
        <w:rPr>
          <w:rFonts w:hint="eastAsia" w:ascii="宋体" w:hAnsi="宋体" w:cs="宋体"/>
          <w:sz w:val="24"/>
          <w:lang w:val="en-US" w:eastAsia="zh-CN"/>
        </w:rPr>
        <w:t>全员</w:t>
      </w:r>
      <w:r>
        <w:rPr>
          <w:rFonts w:hint="eastAsia" w:ascii="宋体" w:hAnsi="宋体" w:cs="宋体"/>
          <w:sz w:val="24"/>
        </w:rPr>
        <w:t>在院驻点服务时间：</w:t>
      </w:r>
      <w:r>
        <w:rPr>
          <w:rFonts w:hint="eastAsia" w:ascii="宋体" w:hAnsi="宋体" w:cs="宋体"/>
          <w:sz w:val="24"/>
          <w:lang w:val="en-US" w:eastAsia="zh-CN"/>
        </w:rPr>
        <w:t>工作日</w:t>
      </w:r>
      <w:r>
        <w:rPr>
          <w:rFonts w:ascii="宋体" w:hAnsi="宋体" w:cs="宋体"/>
          <w:sz w:val="24"/>
        </w:rPr>
        <w:t>8</w:t>
      </w:r>
      <w:r>
        <w:rPr>
          <w:rFonts w:hint="eastAsia" w:ascii="宋体" w:hAnsi="宋体" w:cs="宋体"/>
          <w:sz w:val="24"/>
        </w:rPr>
        <w:t>：0</w:t>
      </w:r>
      <w:r>
        <w:rPr>
          <w:rFonts w:ascii="宋体" w:hAnsi="宋体" w:cs="宋体"/>
          <w:sz w:val="24"/>
        </w:rPr>
        <w:t>0-</w:t>
      </w:r>
      <w:r>
        <w:rPr>
          <w:rFonts w:hint="eastAsia" w:ascii="宋体" w:hAnsi="宋体" w:cs="宋体"/>
          <w:sz w:val="24"/>
          <w:lang w:val="en-US" w:eastAsia="zh-CN"/>
        </w:rPr>
        <w:t>17</w:t>
      </w:r>
      <w:r>
        <w:rPr>
          <w:rFonts w:hint="eastAsia" w:ascii="宋体" w:hAnsi="宋体" w:cs="宋体"/>
          <w:sz w:val="24"/>
        </w:rPr>
        <w:t>：0</w:t>
      </w:r>
      <w:r>
        <w:rPr>
          <w:rFonts w:ascii="宋体" w:hAnsi="宋体" w:cs="宋体"/>
          <w:sz w:val="24"/>
        </w:rPr>
        <w:t>0</w:t>
      </w:r>
      <w:r>
        <w:rPr>
          <w:rFonts w:hint="eastAsia" w:ascii="宋体" w:hAnsi="宋体" w:cs="宋体"/>
          <w:sz w:val="24"/>
          <w:lang w:eastAsia="zh-CN"/>
        </w:rPr>
        <w:t>；</w:t>
      </w:r>
      <w:r>
        <w:rPr>
          <w:rFonts w:hint="eastAsia" w:ascii="宋体" w:hAnsi="宋体" w:cs="宋体"/>
          <w:sz w:val="24"/>
          <w:lang w:val="en-US" w:eastAsia="zh-CN"/>
        </w:rPr>
        <w:t>工作日17:00-20：00以及节假日的8:00-17:00一人驻场值班。</w:t>
      </w:r>
    </w:p>
    <w:p>
      <w:pPr>
        <w:spacing w:line="360" w:lineRule="auto"/>
        <w:ind w:left="426"/>
        <w:rPr>
          <w:rFonts w:ascii="宋体" w:hAnsi="宋体" w:cs="宋体"/>
          <w:sz w:val="24"/>
        </w:rPr>
      </w:pPr>
      <w:r>
        <w:rPr>
          <w:rFonts w:ascii="宋体" w:hAnsi="宋体" w:cs="宋体"/>
          <w:sz w:val="24"/>
        </w:rPr>
        <w:t>3</w:t>
      </w:r>
      <w:r>
        <w:rPr>
          <w:rFonts w:hint="eastAsia" w:ascii="宋体" w:hAnsi="宋体" w:cs="宋体"/>
          <w:sz w:val="24"/>
        </w:rPr>
        <w:t>）夜间值班要求：负责夜间</w:t>
      </w:r>
      <w:r>
        <w:rPr>
          <w:rFonts w:hint="eastAsia" w:ascii="宋体" w:hAnsi="宋体" w:cs="宋体"/>
          <w:sz w:val="24"/>
          <w:lang w:val="en-US" w:eastAsia="zh-CN"/>
        </w:rPr>
        <w:t>20</w:t>
      </w:r>
      <w:r>
        <w:rPr>
          <w:rFonts w:hint="eastAsia" w:ascii="宋体" w:hAnsi="宋体" w:cs="宋体"/>
          <w:sz w:val="24"/>
        </w:rPr>
        <w:t>：0</w:t>
      </w:r>
      <w:r>
        <w:rPr>
          <w:rFonts w:ascii="宋体" w:hAnsi="宋体" w:cs="宋体"/>
          <w:sz w:val="24"/>
        </w:rPr>
        <w:t>0-8</w:t>
      </w:r>
      <w:r>
        <w:rPr>
          <w:rFonts w:hint="eastAsia" w:ascii="宋体" w:hAnsi="宋体" w:cs="宋体"/>
          <w:sz w:val="24"/>
        </w:rPr>
        <w:t>：0</w:t>
      </w:r>
      <w:r>
        <w:rPr>
          <w:rFonts w:ascii="宋体" w:hAnsi="宋体" w:cs="宋体"/>
          <w:sz w:val="24"/>
        </w:rPr>
        <w:t>0</w:t>
      </w:r>
      <w:r>
        <w:rPr>
          <w:rFonts w:hint="eastAsia" w:ascii="宋体" w:hAnsi="宋体" w:cs="宋体"/>
          <w:sz w:val="24"/>
        </w:rPr>
        <w:t>值班响应服务，响应时间</w:t>
      </w:r>
      <w:r>
        <w:rPr>
          <w:rFonts w:ascii="宋体" w:hAnsi="宋体" w:cs="宋体"/>
          <w:sz w:val="24"/>
        </w:rPr>
        <w:t>0.5</w:t>
      </w:r>
      <w:r>
        <w:rPr>
          <w:rFonts w:hint="eastAsia" w:ascii="宋体" w:hAnsi="宋体" w:cs="宋体"/>
          <w:sz w:val="24"/>
        </w:rPr>
        <w:t>小时到场。</w:t>
      </w:r>
    </w:p>
    <w:p>
      <w:pPr>
        <w:spacing w:line="360" w:lineRule="auto"/>
        <w:ind w:left="426"/>
        <w:rPr>
          <w:rFonts w:ascii="宋体" w:hAnsi="宋体" w:cs="宋体"/>
          <w:b/>
          <w:sz w:val="24"/>
        </w:rPr>
      </w:pPr>
      <w:r>
        <w:rPr>
          <w:rFonts w:hint="eastAsia" w:ascii="宋体" w:hAnsi="宋体" w:cs="宋体"/>
          <w:b/>
          <w:sz w:val="24"/>
        </w:rPr>
        <w:t>4）故障处理时效：工单响应时间为5分钟、</w:t>
      </w:r>
      <w:r>
        <w:rPr>
          <w:rFonts w:hint="eastAsia" w:ascii="宋体" w:hAnsi="宋体" w:cs="宋体"/>
          <w:b/>
          <w:sz w:val="24"/>
          <w:lang w:val="en-US" w:eastAsia="zh-CN"/>
        </w:rPr>
        <w:t>30</w:t>
      </w:r>
      <w:r>
        <w:rPr>
          <w:rFonts w:hint="eastAsia" w:ascii="宋体" w:hAnsi="宋体" w:cs="宋体"/>
          <w:b/>
          <w:sz w:val="24"/>
        </w:rPr>
        <w:t>分钟内响应上门到场、月平均1小时内解决故障率达9</w:t>
      </w:r>
      <w:r>
        <w:rPr>
          <w:rFonts w:ascii="宋体" w:hAnsi="宋体" w:cs="宋体"/>
          <w:b/>
          <w:sz w:val="24"/>
        </w:rPr>
        <w:t>0%</w:t>
      </w:r>
      <w:r>
        <w:rPr>
          <w:rFonts w:hint="eastAsia" w:ascii="宋体" w:hAnsi="宋体" w:cs="宋体"/>
          <w:b/>
          <w:sz w:val="24"/>
        </w:rPr>
        <w:t>以上，当日故障解决率9</w:t>
      </w:r>
      <w:r>
        <w:rPr>
          <w:rFonts w:ascii="宋体" w:hAnsi="宋体" w:cs="宋体"/>
          <w:b/>
          <w:sz w:val="24"/>
        </w:rPr>
        <w:t>0%</w:t>
      </w:r>
      <w:r>
        <w:rPr>
          <w:rFonts w:hint="eastAsia" w:ascii="宋体" w:hAnsi="宋体" w:cs="宋体"/>
          <w:b/>
          <w:sz w:val="24"/>
        </w:rPr>
        <w:t>以上。（要求提供针对解决方案）</w:t>
      </w:r>
    </w:p>
    <w:p>
      <w:pPr>
        <w:spacing w:line="360" w:lineRule="auto"/>
        <w:ind w:left="426"/>
        <w:rPr>
          <w:rFonts w:ascii="宋体" w:hAnsi="宋体" w:cs="宋体"/>
          <w:sz w:val="24"/>
        </w:rPr>
      </w:pPr>
      <w:r>
        <w:rPr>
          <w:rFonts w:hint="eastAsia" w:ascii="宋体" w:hAnsi="宋体" w:cs="宋体"/>
          <w:sz w:val="24"/>
          <w:lang w:val="en-US" w:eastAsia="zh-CN"/>
        </w:rPr>
        <w:t>5</w:t>
      </w:r>
      <w:r>
        <w:rPr>
          <w:rFonts w:hint="eastAsia" w:ascii="宋体" w:hAnsi="宋体" w:cs="宋体"/>
          <w:sz w:val="24"/>
        </w:rPr>
        <w:t>）值班人员要求：周一到周五现场驻点人员不少于</w:t>
      </w:r>
      <w:r>
        <w:rPr>
          <w:rFonts w:hint="eastAsia" w:ascii="宋体" w:hAnsi="宋体" w:cs="宋体"/>
          <w:sz w:val="24"/>
          <w:lang w:val="en-US" w:eastAsia="zh-CN"/>
        </w:rPr>
        <w:t>5</w:t>
      </w:r>
      <w:r>
        <w:rPr>
          <w:rFonts w:hint="eastAsia" w:ascii="宋体" w:hAnsi="宋体" w:cs="宋体"/>
          <w:sz w:val="24"/>
        </w:rPr>
        <w:t>人，周末及节假日需安排现场值班人员，夜间需安排应急响应支持人员。如遇到重大事件保障需另外增派人员支持到现场提供2</w:t>
      </w:r>
      <w:r>
        <w:rPr>
          <w:rFonts w:ascii="宋体" w:hAnsi="宋体" w:cs="宋体"/>
          <w:sz w:val="24"/>
        </w:rPr>
        <w:t>4</w:t>
      </w:r>
      <w:r>
        <w:rPr>
          <w:rFonts w:hint="eastAsia" w:ascii="宋体" w:hAnsi="宋体" w:cs="宋体"/>
          <w:sz w:val="24"/>
        </w:rPr>
        <w:t>小时连续不间断服务保障。</w:t>
      </w:r>
    </w:p>
    <w:p>
      <w:pPr>
        <w:spacing w:line="360" w:lineRule="auto"/>
        <w:ind w:left="426"/>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）要求提供适合医院运行配套服务机制和方案。</w:t>
      </w:r>
    </w:p>
    <w:p>
      <w:pPr>
        <w:spacing w:line="360" w:lineRule="auto"/>
        <w:ind w:left="426"/>
        <w:rPr>
          <w:rFonts w:hint="eastAsia" w:ascii="宋体" w:hAnsi="宋体" w:cs="宋体"/>
          <w:sz w:val="24"/>
          <w:lang w:val="en-US" w:eastAsia="zh-CN"/>
        </w:rPr>
      </w:pPr>
      <w:r>
        <w:rPr>
          <w:rFonts w:hint="eastAsia" w:ascii="宋体" w:hAnsi="宋体" w:cs="宋体"/>
          <w:sz w:val="24"/>
          <w:lang w:val="en-US" w:eastAsia="zh-CN"/>
        </w:rPr>
        <w:t>7）要求提供以下全新备机供应急使用：</w:t>
      </w:r>
    </w:p>
    <w:tbl>
      <w:tblPr>
        <w:tblStyle w:val="6"/>
        <w:tblW w:w="0" w:type="auto"/>
        <w:tblInd w:w="5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450"/>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0" w:type="dxa"/>
            <w:noWrap w:val="0"/>
            <w:vAlign w:val="top"/>
          </w:tcPr>
          <w:p>
            <w:pPr>
              <w:spacing w:line="360" w:lineRule="auto"/>
              <w:ind w:firstLine="480" w:firstLineChars="200"/>
              <w:rPr>
                <w:rFonts w:hint="default" w:ascii="宋体" w:hAnsi="宋体" w:cs="宋体"/>
                <w:sz w:val="24"/>
                <w:vertAlign w:val="baseline"/>
                <w:lang w:val="en-US" w:eastAsia="zh-CN"/>
              </w:rPr>
            </w:pPr>
            <w:r>
              <w:rPr>
                <w:rFonts w:hint="eastAsia" w:ascii="宋体" w:hAnsi="宋体" w:cs="宋体"/>
                <w:sz w:val="24"/>
                <w:vertAlign w:val="baseline"/>
                <w:lang w:val="en-US" w:eastAsia="zh-CN"/>
              </w:rPr>
              <w:t>黑白双面网络打印机</w:t>
            </w:r>
          </w:p>
        </w:tc>
        <w:tc>
          <w:tcPr>
            <w:tcW w:w="3531" w:type="dxa"/>
            <w:noWrap w:val="0"/>
            <w:vAlign w:val="top"/>
          </w:tcPr>
          <w:p>
            <w:pPr>
              <w:spacing w:line="360" w:lineRule="auto"/>
              <w:ind w:firstLine="1680" w:firstLineChars="700"/>
              <w:rPr>
                <w:rFonts w:hint="default" w:ascii="宋体" w:hAnsi="宋体" w:cs="宋体"/>
                <w:sz w:val="24"/>
                <w:vertAlign w:val="baseline"/>
                <w:lang w:val="en-US" w:eastAsia="zh-CN"/>
              </w:rPr>
            </w:pPr>
            <w:r>
              <w:rPr>
                <w:rFonts w:hint="eastAsia" w:ascii="宋体" w:hAnsi="宋体" w:cs="宋体"/>
                <w:sz w:val="24"/>
                <w:vertAlign w:val="baseline"/>
                <w:lang w:val="en-US" w:eastAsia="zh-CN"/>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0" w:type="dxa"/>
            <w:noWrap w:val="0"/>
            <w:vAlign w:val="top"/>
          </w:tcPr>
          <w:p>
            <w:pPr>
              <w:spacing w:line="360" w:lineRule="auto"/>
              <w:rPr>
                <w:rFonts w:hint="default" w:ascii="宋体" w:hAnsi="宋体" w:cs="宋体"/>
                <w:sz w:val="24"/>
                <w:vertAlign w:val="baseline"/>
                <w:lang w:val="en-US" w:eastAsia="zh-CN"/>
              </w:rPr>
            </w:pPr>
            <w:r>
              <w:rPr>
                <w:rFonts w:hint="eastAsia" w:ascii="宋体" w:hAnsi="宋体" w:cs="宋体"/>
                <w:sz w:val="24"/>
                <w:vertAlign w:val="baseline"/>
                <w:lang w:val="en-US" w:eastAsia="zh-CN"/>
              </w:rPr>
              <w:t xml:space="preserve">    彩色双面网络打印机</w:t>
            </w:r>
          </w:p>
        </w:tc>
        <w:tc>
          <w:tcPr>
            <w:tcW w:w="3531" w:type="dxa"/>
            <w:noWrap w:val="0"/>
            <w:vAlign w:val="top"/>
          </w:tcPr>
          <w:p>
            <w:pPr>
              <w:spacing w:line="360" w:lineRule="auto"/>
              <w:rPr>
                <w:rFonts w:hint="default" w:ascii="宋体" w:hAnsi="宋体" w:cs="宋体"/>
                <w:sz w:val="24"/>
                <w:vertAlign w:val="baseline"/>
                <w:lang w:val="en-US" w:eastAsia="zh-CN"/>
              </w:rPr>
            </w:pPr>
            <w:r>
              <w:rPr>
                <w:rFonts w:hint="eastAsia" w:ascii="宋体" w:hAnsi="宋体" w:cs="宋体"/>
                <w:sz w:val="24"/>
                <w:vertAlign w:val="baseline"/>
                <w:lang w:val="en-US" w:eastAsia="zh-CN"/>
              </w:rPr>
              <w:t xml:space="preserve">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0" w:type="dxa"/>
            <w:noWrap w:val="0"/>
            <w:vAlign w:val="top"/>
          </w:tcPr>
          <w:p>
            <w:pPr>
              <w:spacing w:line="360" w:lineRule="auto"/>
              <w:rPr>
                <w:rFonts w:hint="default" w:ascii="宋体" w:hAnsi="宋体" w:cs="宋体"/>
                <w:sz w:val="24"/>
                <w:vertAlign w:val="baseline"/>
                <w:lang w:val="en-US" w:eastAsia="zh-CN"/>
              </w:rPr>
            </w:pPr>
            <w:r>
              <w:rPr>
                <w:rFonts w:hint="eastAsia" w:ascii="宋体" w:hAnsi="宋体" w:cs="宋体"/>
                <w:sz w:val="24"/>
                <w:vertAlign w:val="baseline"/>
                <w:lang w:val="en-US" w:eastAsia="zh-CN"/>
              </w:rPr>
              <w:t xml:space="preserve">       热敏条码打印机</w:t>
            </w:r>
          </w:p>
        </w:tc>
        <w:tc>
          <w:tcPr>
            <w:tcW w:w="3531" w:type="dxa"/>
            <w:noWrap w:val="0"/>
            <w:vAlign w:val="top"/>
          </w:tcPr>
          <w:p>
            <w:pPr>
              <w:spacing w:line="360" w:lineRule="auto"/>
              <w:rPr>
                <w:rFonts w:hint="default" w:ascii="宋体" w:hAnsi="宋体" w:cs="宋体"/>
                <w:sz w:val="24"/>
                <w:vertAlign w:val="baseline"/>
                <w:lang w:val="en-US" w:eastAsia="zh-CN"/>
              </w:rPr>
            </w:pPr>
            <w:r>
              <w:rPr>
                <w:rFonts w:hint="eastAsia" w:ascii="宋体" w:hAnsi="宋体" w:cs="宋体"/>
                <w:sz w:val="24"/>
                <w:vertAlign w:val="baseline"/>
                <w:lang w:val="en-US" w:eastAsia="zh-CN"/>
              </w:rPr>
              <w:t xml:space="preserve">              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0" w:type="dxa"/>
            <w:noWrap w:val="0"/>
            <w:vAlign w:val="top"/>
          </w:tcPr>
          <w:p>
            <w:pPr>
              <w:spacing w:line="360" w:lineRule="auto"/>
              <w:rPr>
                <w:rFonts w:hint="default" w:ascii="宋体" w:hAnsi="宋体" w:cs="宋体"/>
                <w:sz w:val="24"/>
                <w:vertAlign w:val="baseline"/>
                <w:lang w:val="en-US" w:eastAsia="zh-CN"/>
              </w:rPr>
            </w:pPr>
            <w:r>
              <w:rPr>
                <w:rFonts w:hint="eastAsia" w:ascii="宋体" w:hAnsi="宋体" w:cs="宋体"/>
                <w:sz w:val="24"/>
                <w:vertAlign w:val="baseline"/>
                <w:lang w:val="en-US" w:eastAsia="zh-CN"/>
              </w:rPr>
              <w:t xml:space="preserve">        针式打印机</w:t>
            </w:r>
          </w:p>
        </w:tc>
        <w:tc>
          <w:tcPr>
            <w:tcW w:w="3531" w:type="dxa"/>
            <w:noWrap w:val="0"/>
            <w:vAlign w:val="top"/>
          </w:tcPr>
          <w:p>
            <w:pPr>
              <w:spacing w:line="360" w:lineRule="auto"/>
              <w:rPr>
                <w:rFonts w:hint="default" w:ascii="宋体" w:hAnsi="宋体" w:cs="宋体"/>
                <w:sz w:val="24"/>
                <w:vertAlign w:val="baseline"/>
                <w:lang w:val="en-US" w:eastAsia="zh-CN"/>
              </w:rPr>
            </w:pPr>
            <w:r>
              <w:rPr>
                <w:rFonts w:hint="eastAsia" w:ascii="宋体" w:hAnsi="宋体" w:cs="宋体"/>
                <w:sz w:val="24"/>
                <w:vertAlign w:val="baseline"/>
                <w:lang w:val="en-US" w:eastAsia="zh-CN"/>
              </w:rPr>
              <w:t xml:space="preserve">              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0" w:type="dxa"/>
            <w:noWrap w:val="0"/>
            <w:vAlign w:val="top"/>
          </w:tcPr>
          <w:p>
            <w:pPr>
              <w:spacing w:line="360" w:lineRule="auto"/>
              <w:ind w:firstLine="1200" w:firstLineChars="500"/>
              <w:rPr>
                <w:rFonts w:hint="default" w:ascii="宋体" w:hAnsi="宋体" w:cs="宋体"/>
                <w:sz w:val="24"/>
                <w:vertAlign w:val="baseline"/>
                <w:lang w:val="en-US" w:eastAsia="zh-CN"/>
              </w:rPr>
            </w:pPr>
            <w:r>
              <w:rPr>
                <w:rFonts w:hint="eastAsia" w:ascii="宋体" w:hAnsi="宋体" w:cs="宋体"/>
                <w:sz w:val="24"/>
                <w:vertAlign w:val="baseline"/>
                <w:lang w:val="en-US" w:eastAsia="zh-CN"/>
              </w:rPr>
              <w:t>A5打印机</w:t>
            </w:r>
          </w:p>
        </w:tc>
        <w:tc>
          <w:tcPr>
            <w:tcW w:w="3531" w:type="dxa"/>
            <w:noWrap w:val="0"/>
            <w:vAlign w:val="top"/>
          </w:tcPr>
          <w:p>
            <w:pPr>
              <w:spacing w:line="360" w:lineRule="auto"/>
              <w:rPr>
                <w:rFonts w:hint="default" w:ascii="宋体" w:hAnsi="宋体" w:cs="宋体"/>
                <w:sz w:val="24"/>
                <w:vertAlign w:val="baseline"/>
                <w:lang w:val="en-US" w:eastAsia="zh-CN"/>
              </w:rPr>
            </w:pPr>
            <w:r>
              <w:rPr>
                <w:rFonts w:hint="eastAsia" w:ascii="宋体" w:hAnsi="宋体" w:cs="宋体"/>
                <w:sz w:val="24"/>
                <w:vertAlign w:val="baseline"/>
                <w:lang w:val="en-US" w:eastAsia="zh-CN"/>
              </w:rPr>
              <w:t xml:space="preserve">              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0" w:type="dxa"/>
            <w:noWrap w:val="0"/>
            <w:vAlign w:val="top"/>
          </w:tcPr>
          <w:p>
            <w:pPr>
              <w:spacing w:line="360" w:lineRule="auto"/>
              <w:rPr>
                <w:rFonts w:hint="default" w:ascii="宋体" w:hAnsi="宋体" w:eastAsia="宋体" w:cs="宋体"/>
                <w:kern w:val="2"/>
                <w:sz w:val="24"/>
                <w:szCs w:val="24"/>
                <w:vertAlign w:val="baseline"/>
                <w:lang w:val="en-US" w:eastAsia="zh-CN" w:bidi="ar-SA"/>
              </w:rPr>
            </w:pPr>
            <w:r>
              <w:rPr>
                <w:rFonts w:hint="eastAsia" w:ascii="宋体" w:hAnsi="宋体" w:cs="宋体"/>
                <w:sz w:val="24"/>
                <w:vertAlign w:val="baseline"/>
                <w:lang w:val="en-US" w:eastAsia="zh-CN"/>
              </w:rPr>
              <w:t xml:space="preserve">            PDA</w:t>
            </w:r>
          </w:p>
        </w:tc>
        <w:tc>
          <w:tcPr>
            <w:tcW w:w="3531" w:type="dxa"/>
            <w:noWrap w:val="0"/>
            <w:vAlign w:val="top"/>
          </w:tcPr>
          <w:p>
            <w:pPr>
              <w:spacing w:line="360" w:lineRule="auto"/>
              <w:rPr>
                <w:rFonts w:hint="default" w:ascii="宋体" w:hAnsi="宋体" w:eastAsia="宋体" w:cs="宋体"/>
                <w:kern w:val="2"/>
                <w:sz w:val="24"/>
                <w:szCs w:val="24"/>
                <w:vertAlign w:val="baseline"/>
                <w:lang w:val="en-US" w:eastAsia="zh-CN" w:bidi="ar-SA"/>
              </w:rPr>
            </w:pPr>
            <w:r>
              <w:rPr>
                <w:rFonts w:hint="eastAsia" w:ascii="宋体" w:hAnsi="宋体" w:cs="宋体"/>
                <w:sz w:val="24"/>
                <w:vertAlign w:val="baseline"/>
                <w:lang w:val="en-US" w:eastAsia="zh-CN"/>
              </w:rPr>
              <w:t xml:space="preserve">              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0" w:type="dxa"/>
            <w:noWrap w:val="0"/>
            <w:vAlign w:val="top"/>
          </w:tcPr>
          <w:p>
            <w:pPr>
              <w:spacing w:line="360" w:lineRule="auto"/>
              <w:rPr>
                <w:rFonts w:hint="default" w:ascii="宋体" w:hAnsi="宋体" w:eastAsia="宋体" w:cs="宋体"/>
                <w:kern w:val="2"/>
                <w:sz w:val="24"/>
                <w:szCs w:val="24"/>
                <w:vertAlign w:val="baseline"/>
                <w:lang w:val="en-US" w:eastAsia="zh-CN" w:bidi="ar-SA"/>
              </w:rPr>
            </w:pPr>
            <w:r>
              <w:rPr>
                <w:rFonts w:hint="eastAsia" w:ascii="宋体" w:hAnsi="宋体" w:cs="宋体"/>
                <w:sz w:val="24"/>
                <w:vertAlign w:val="baseline"/>
                <w:lang w:val="en-US" w:eastAsia="zh-CN"/>
              </w:rPr>
              <w:t xml:space="preserve">           电脑</w:t>
            </w:r>
          </w:p>
        </w:tc>
        <w:tc>
          <w:tcPr>
            <w:tcW w:w="3531" w:type="dxa"/>
            <w:noWrap w:val="0"/>
            <w:vAlign w:val="top"/>
          </w:tcPr>
          <w:p>
            <w:pPr>
              <w:spacing w:line="360" w:lineRule="auto"/>
              <w:rPr>
                <w:rFonts w:hint="eastAsia" w:ascii="宋体" w:hAnsi="宋体" w:eastAsia="宋体" w:cs="宋体"/>
                <w:kern w:val="2"/>
                <w:sz w:val="24"/>
                <w:szCs w:val="24"/>
                <w:vertAlign w:val="baseline"/>
                <w:lang w:val="en-US" w:eastAsia="zh-CN" w:bidi="ar-SA"/>
              </w:rPr>
            </w:pPr>
            <w:r>
              <w:rPr>
                <w:rFonts w:hint="eastAsia" w:ascii="宋体" w:hAnsi="宋体" w:cs="宋体"/>
                <w:sz w:val="24"/>
                <w:vertAlign w:val="baseline"/>
                <w:lang w:val="en-US" w:eastAsia="zh-CN"/>
              </w:rPr>
              <w:t xml:space="preserve">              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0" w:type="dxa"/>
            <w:noWrap w:val="0"/>
            <w:vAlign w:val="top"/>
          </w:tcPr>
          <w:p>
            <w:pPr>
              <w:spacing w:line="360" w:lineRule="auto"/>
              <w:ind w:firstLine="1200" w:firstLineChars="500"/>
              <w:rPr>
                <w:rFonts w:hint="default" w:ascii="宋体" w:hAnsi="宋体" w:cs="宋体"/>
                <w:sz w:val="24"/>
                <w:vertAlign w:val="baseline"/>
                <w:lang w:val="en-US" w:eastAsia="zh-CN"/>
              </w:rPr>
            </w:pPr>
            <w:r>
              <w:rPr>
                <w:rFonts w:hint="eastAsia" w:ascii="宋体" w:hAnsi="宋体" w:cs="宋体"/>
                <w:sz w:val="24"/>
                <w:vertAlign w:val="baseline"/>
                <w:lang w:val="en-US" w:eastAsia="zh-CN"/>
              </w:rPr>
              <w:t>移动推车</w:t>
            </w:r>
          </w:p>
        </w:tc>
        <w:tc>
          <w:tcPr>
            <w:tcW w:w="3531" w:type="dxa"/>
            <w:noWrap w:val="0"/>
            <w:vAlign w:val="top"/>
          </w:tcPr>
          <w:p>
            <w:pPr>
              <w:spacing w:line="360" w:lineRule="auto"/>
              <w:ind w:firstLine="1680" w:firstLineChars="700"/>
              <w:rPr>
                <w:rFonts w:hint="default" w:ascii="宋体" w:hAnsi="宋体" w:cs="宋体"/>
                <w:sz w:val="24"/>
                <w:vertAlign w:val="baseline"/>
                <w:lang w:val="en-US" w:eastAsia="zh-CN"/>
              </w:rPr>
            </w:pPr>
            <w:r>
              <w:rPr>
                <w:rFonts w:hint="eastAsia" w:ascii="宋体" w:hAnsi="宋体" w:cs="宋体"/>
                <w:sz w:val="24"/>
                <w:vertAlign w:val="baseline"/>
                <w:lang w:val="en-US" w:eastAsia="zh-CN"/>
              </w:rPr>
              <w:t>1辆</w:t>
            </w:r>
          </w:p>
        </w:tc>
      </w:tr>
    </w:tbl>
    <w:p>
      <w:pPr>
        <w:spacing w:line="360" w:lineRule="auto"/>
        <w:ind w:left="426"/>
        <w:rPr>
          <w:rFonts w:hint="default" w:ascii="宋体" w:hAnsi="宋体" w:cs="宋体"/>
          <w:sz w:val="24"/>
          <w:lang w:val="en-US" w:eastAsia="zh-CN"/>
        </w:rPr>
      </w:pPr>
      <w:r>
        <w:rPr>
          <w:rFonts w:hint="eastAsia" w:ascii="宋体" w:hAnsi="宋体" w:cs="宋体"/>
          <w:sz w:val="24"/>
          <w:lang w:val="en-US" w:eastAsia="zh-CN"/>
        </w:rPr>
        <w:t xml:space="preserve"> 并且按照医院使用的品牌型号在医院建立备件库，保证常见的配件当天更换，一周内补充，包括但不限于电脑内存、电源</w:t>
      </w:r>
      <w:r>
        <w:rPr>
          <w:rFonts w:hint="eastAsia" w:ascii="宋体" w:hAnsi="宋体" w:cs="宋体"/>
          <w:sz w:val="24"/>
          <w:lang w:val="en-US" w:eastAsia="zh-CN"/>
        </w:rPr>
        <w:t>、硬盘、网卡、打印机适配器、定影器、医保读卡器、扫码平台等</w:t>
      </w:r>
    </w:p>
    <w:p>
      <w:pPr>
        <w:keepNext/>
        <w:keepLines/>
        <w:numPr>
          <w:ilvl w:val="0"/>
          <w:numId w:val="0"/>
        </w:numPr>
        <w:tabs>
          <w:tab w:val="left" w:pos="0"/>
        </w:tabs>
        <w:adjustRightInd w:val="0"/>
        <w:spacing w:before="260" w:after="260" w:line="360" w:lineRule="auto"/>
        <w:ind w:leftChars="0"/>
        <w:jc w:val="left"/>
        <w:outlineLvl w:val="1"/>
        <w:rPr>
          <w:rFonts w:ascii="宋体" w:hAnsi="宋体"/>
          <w:b/>
          <w:bCs/>
          <w:sz w:val="24"/>
        </w:rPr>
      </w:pPr>
      <w:r>
        <w:rPr>
          <w:rFonts w:hint="eastAsia" w:ascii="宋体" w:hAnsi="宋体"/>
          <w:b/>
          <w:bCs/>
          <w:sz w:val="24"/>
          <w:lang w:val="en-US" w:eastAsia="zh-CN"/>
        </w:rPr>
        <w:t>5.</w:t>
      </w:r>
      <w:r>
        <w:rPr>
          <w:rFonts w:hint="eastAsia" w:ascii="宋体" w:hAnsi="宋体"/>
          <w:b/>
          <w:bCs/>
          <w:sz w:val="24"/>
        </w:rPr>
        <w:t>技术服务要求</w:t>
      </w:r>
    </w:p>
    <w:p>
      <w:pPr>
        <w:numPr>
          <w:ilvl w:val="0"/>
          <w:numId w:val="2"/>
        </w:numPr>
        <w:spacing w:line="360" w:lineRule="auto"/>
        <w:ind w:left="426"/>
        <w:rPr>
          <w:rFonts w:ascii="宋体" w:hAnsi="宋体"/>
          <w:color w:val="auto"/>
          <w:sz w:val="24"/>
        </w:rPr>
      </w:pPr>
      <w:r>
        <w:rPr>
          <w:rFonts w:hint="eastAsia" w:ascii="宋体" w:hAnsi="宋体" w:cs="宋体"/>
          <w:color w:val="auto"/>
          <w:sz w:val="24"/>
        </w:rPr>
        <w:t>▲驻场人员要求：固定派驻不少于</w:t>
      </w:r>
      <w:r>
        <w:rPr>
          <w:rFonts w:hint="eastAsia" w:ascii="宋体" w:hAnsi="宋体" w:cs="宋体"/>
          <w:color w:val="auto"/>
          <w:sz w:val="24"/>
          <w:lang w:val="en-US" w:eastAsia="zh-CN"/>
        </w:rPr>
        <w:t>5</w:t>
      </w:r>
      <w:r>
        <w:rPr>
          <w:rFonts w:hint="eastAsia" w:ascii="宋体" w:hAnsi="宋体" w:cs="宋体"/>
          <w:color w:val="auto"/>
          <w:sz w:val="24"/>
        </w:rPr>
        <w:t>名人员</w:t>
      </w:r>
      <w:r>
        <w:rPr>
          <w:rFonts w:hint="eastAsia" w:ascii="宋体" w:hAnsi="宋体" w:cs="宋体"/>
          <w:color w:val="auto"/>
          <w:sz w:val="24"/>
          <w:lang w:val="en-US" w:eastAsia="zh-CN"/>
        </w:rPr>
        <w:t>。</w:t>
      </w:r>
      <w:r>
        <w:rPr>
          <w:rFonts w:hint="eastAsia" w:ascii="宋体" w:hAnsi="宋体" w:cs="宋体"/>
          <w:color w:val="auto"/>
          <w:sz w:val="24"/>
        </w:rPr>
        <w:t>其中至少配置项目主管1名</w:t>
      </w:r>
      <w:r>
        <w:rPr>
          <w:rFonts w:hint="eastAsia" w:ascii="宋体" w:hAnsi="宋体" w:cs="宋体"/>
          <w:color w:val="auto"/>
          <w:sz w:val="24"/>
          <w:lang w:eastAsia="zh-CN"/>
        </w:rPr>
        <w:t>（</w:t>
      </w:r>
      <w:r>
        <w:rPr>
          <w:rFonts w:hint="eastAsia" w:ascii="宋体" w:hAnsi="宋体" w:cs="宋体"/>
          <w:color w:val="auto"/>
          <w:sz w:val="24"/>
          <w:lang w:val="en-US" w:eastAsia="zh-CN"/>
        </w:rPr>
        <w:t>兼</w:t>
      </w:r>
      <w:r>
        <w:rPr>
          <w:rFonts w:hint="eastAsia" w:ascii="宋体" w:hAnsi="宋体" w:cs="宋体"/>
          <w:color w:val="auto"/>
          <w:sz w:val="24"/>
          <w:lang w:eastAsia="zh-CN"/>
        </w:rPr>
        <w:t>）</w:t>
      </w:r>
      <w:r>
        <w:rPr>
          <w:rFonts w:hint="eastAsia" w:ascii="宋体" w:hAnsi="宋体" w:cs="宋体"/>
          <w:color w:val="auto"/>
          <w:sz w:val="24"/>
        </w:rPr>
        <w:t>且具备3年以上</w:t>
      </w:r>
      <w:r>
        <w:rPr>
          <w:rFonts w:hint="eastAsia" w:ascii="宋体" w:hAnsi="宋体" w:cs="宋体"/>
          <w:color w:val="auto"/>
          <w:sz w:val="24"/>
          <w:lang w:val="en-US" w:eastAsia="zh-CN"/>
        </w:rPr>
        <w:t>同类基础运维</w:t>
      </w:r>
      <w:r>
        <w:rPr>
          <w:rFonts w:hint="eastAsia" w:ascii="宋体" w:hAnsi="宋体" w:cs="宋体"/>
          <w:color w:val="auto"/>
          <w:sz w:val="24"/>
        </w:rPr>
        <w:t>项目经验，网络工程师1名且具备中级网络</w:t>
      </w:r>
      <w:r>
        <w:rPr>
          <w:rFonts w:hint="eastAsia" w:ascii="宋体" w:hAnsi="宋体" w:cs="宋体"/>
          <w:color w:val="auto"/>
          <w:sz w:val="24"/>
          <w:lang w:val="en-US" w:eastAsia="zh-CN"/>
        </w:rPr>
        <w:t>工程师</w:t>
      </w:r>
      <w:r>
        <w:rPr>
          <w:rFonts w:hint="eastAsia" w:ascii="宋体" w:hAnsi="宋体" w:cs="宋体"/>
          <w:color w:val="auto"/>
          <w:sz w:val="24"/>
        </w:rPr>
        <w:t>资格证书及3年以上</w:t>
      </w:r>
      <w:r>
        <w:rPr>
          <w:rFonts w:hint="eastAsia" w:ascii="宋体" w:hAnsi="宋体" w:cs="宋体"/>
          <w:color w:val="auto"/>
          <w:sz w:val="24"/>
          <w:lang w:val="en-US" w:eastAsia="zh-CN"/>
        </w:rPr>
        <w:t>网络维护</w:t>
      </w:r>
      <w:r>
        <w:rPr>
          <w:rFonts w:hint="eastAsia" w:ascii="宋体" w:hAnsi="宋体" w:cs="宋体"/>
          <w:color w:val="auto"/>
          <w:sz w:val="24"/>
        </w:rPr>
        <w:t>工作经验，硬件维修工程师</w:t>
      </w:r>
      <w:r>
        <w:rPr>
          <w:rFonts w:hint="eastAsia" w:ascii="宋体" w:hAnsi="宋体" w:cs="宋体"/>
          <w:color w:val="auto"/>
          <w:sz w:val="24"/>
          <w:lang w:val="en-US" w:eastAsia="zh-CN"/>
        </w:rPr>
        <w:t>2</w:t>
      </w:r>
      <w:r>
        <w:rPr>
          <w:rFonts w:hint="eastAsia" w:ascii="宋体" w:hAnsi="宋体" w:cs="宋体"/>
          <w:color w:val="auto"/>
          <w:sz w:val="24"/>
        </w:rPr>
        <w:t>名且具备3年以上硬件维修经验</w:t>
      </w:r>
      <w:r>
        <w:rPr>
          <w:rFonts w:hint="eastAsia" w:ascii="宋体" w:hAnsi="宋体" w:cs="宋体"/>
          <w:color w:val="auto"/>
          <w:sz w:val="24"/>
          <w:lang w:eastAsia="zh-CN"/>
        </w:rPr>
        <w:t>，</w:t>
      </w:r>
      <w:r>
        <w:rPr>
          <w:rFonts w:hint="eastAsia" w:ascii="宋体" w:hAnsi="宋体" w:cs="宋体"/>
          <w:color w:val="auto"/>
          <w:sz w:val="24"/>
          <w:lang w:val="en-US" w:eastAsia="zh-CN"/>
        </w:rPr>
        <w:t>软件系统运维工程师1名，软件运维人员需要掌握PB,java开发语言，能处理oracle、sqlserver等数据库业务，有10年以上医疗信息业从业经历，要求提供中级以上程序员证书，OSTA软件工程师证书，accp认证证书等，需要提供到岗承诺书。</w:t>
      </w:r>
      <w:r>
        <w:rPr>
          <w:rFonts w:hint="eastAsia" w:ascii="宋体" w:hAnsi="宋体" w:cs="宋体"/>
          <w:color w:val="auto"/>
          <w:sz w:val="24"/>
        </w:rPr>
        <w:t>遇忙时增派人员需具备我院同级别医院服务经验一年以上，人数需按任务量提供，不设上限。</w:t>
      </w:r>
    </w:p>
    <w:p>
      <w:pPr>
        <w:numPr>
          <w:ilvl w:val="0"/>
          <w:numId w:val="2"/>
        </w:numPr>
        <w:spacing w:line="360" w:lineRule="auto"/>
        <w:ind w:left="426"/>
        <w:rPr>
          <w:rFonts w:ascii="宋体" w:hAnsi="宋体"/>
          <w:sz w:val="24"/>
        </w:rPr>
      </w:pPr>
      <w:r>
        <w:rPr>
          <w:rFonts w:hint="eastAsia" w:ascii="宋体" w:hAnsi="宋体"/>
          <w:sz w:val="24"/>
        </w:rPr>
        <w:t>服务范围：计算机终端设备</w:t>
      </w:r>
      <w:r>
        <w:rPr>
          <w:rFonts w:hint="eastAsia" w:ascii="宋体" w:hAnsi="宋体"/>
          <w:sz w:val="24"/>
          <w:lang w:val="en-US" w:eastAsia="zh-CN"/>
        </w:rPr>
        <w:t>及外设</w:t>
      </w:r>
      <w:r>
        <w:rPr>
          <w:rFonts w:hint="eastAsia" w:ascii="宋体" w:hAnsi="宋体"/>
          <w:sz w:val="24"/>
        </w:rPr>
        <w:t>、</w:t>
      </w:r>
      <w:r>
        <w:rPr>
          <w:rFonts w:hint="eastAsia" w:ascii="宋体" w:hAnsi="宋体"/>
          <w:sz w:val="24"/>
          <w:lang w:val="en-US" w:eastAsia="zh-CN"/>
        </w:rPr>
        <w:t>打印机</w:t>
      </w:r>
      <w:r>
        <w:rPr>
          <w:rFonts w:hint="eastAsia" w:ascii="宋体" w:hAnsi="宋体"/>
          <w:sz w:val="24"/>
        </w:rPr>
        <w:t>、</w:t>
      </w:r>
      <w:r>
        <w:rPr>
          <w:rFonts w:hint="eastAsia" w:ascii="宋体" w:hAnsi="宋体"/>
          <w:sz w:val="24"/>
        </w:rPr>
        <w:t>网络设备、信息终端应用软件、终端信息安全、各类信息屏、</w:t>
      </w:r>
      <w:r>
        <w:rPr>
          <w:rFonts w:hint="eastAsia" w:ascii="宋体" w:hAnsi="宋体"/>
          <w:sz w:val="24"/>
          <w:lang w:val="en-US" w:eastAsia="zh-CN"/>
        </w:rPr>
        <w:t>自助机</w:t>
      </w:r>
      <w:r>
        <w:rPr>
          <w:rFonts w:hint="eastAsia" w:ascii="宋体" w:hAnsi="宋体"/>
          <w:sz w:val="24"/>
        </w:rPr>
        <w:t>、</w:t>
      </w:r>
      <w:r>
        <w:rPr>
          <w:rFonts w:hint="eastAsia" w:ascii="宋体" w:hAnsi="宋体"/>
          <w:sz w:val="24"/>
        </w:rPr>
        <w:t>移动推车、P</w:t>
      </w:r>
      <w:r>
        <w:rPr>
          <w:rFonts w:ascii="宋体" w:hAnsi="宋体"/>
          <w:sz w:val="24"/>
        </w:rPr>
        <w:t>DA</w:t>
      </w:r>
      <w:r>
        <w:rPr>
          <w:rFonts w:hint="eastAsia" w:ascii="宋体" w:hAnsi="宋体"/>
          <w:sz w:val="24"/>
        </w:rPr>
        <w:t>、</w:t>
      </w:r>
      <w:r>
        <w:rPr>
          <w:rFonts w:hint="eastAsia" w:ascii="宋体" w:hAnsi="宋体"/>
          <w:sz w:val="24"/>
          <w:lang w:val="en-US" w:eastAsia="zh-CN"/>
        </w:rPr>
        <w:t>血糖仪</w:t>
      </w:r>
      <w:r>
        <w:rPr>
          <w:rFonts w:hint="eastAsia" w:ascii="宋体" w:hAnsi="宋体"/>
          <w:sz w:val="24"/>
        </w:rPr>
        <w:t>、</w:t>
      </w:r>
      <w:r>
        <w:rPr>
          <w:rFonts w:hint="eastAsia" w:ascii="宋体" w:hAnsi="宋体"/>
          <w:sz w:val="24"/>
        </w:rPr>
        <w:t>多媒体</w:t>
      </w:r>
      <w:r>
        <w:rPr>
          <w:rFonts w:hint="eastAsia" w:ascii="宋体" w:hAnsi="宋体"/>
          <w:sz w:val="24"/>
          <w:lang w:val="en-US" w:eastAsia="zh-CN"/>
        </w:rPr>
        <w:t>系统,机房巡检（空调</w:t>
      </w:r>
      <w:r>
        <w:rPr>
          <w:rFonts w:hint="eastAsia" w:ascii="宋体" w:hAnsi="宋体"/>
          <w:sz w:val="24"/>
        </w:rPr>
        <w:t>、</w:t>
      </w:r>
      <w:r>
        <w:rPr>
          <w:rFonts w:hint="eastAsia" w:ascii="宋体" w:hAnsi="宋体"/>
          <w:sz w:val="24"/>
          <w:lang w:val="en-US" w:eastAsia="zh-CN"/>
        </w:rPr>
        <w:t>UPS，机房环境）</w:t>
      </w:r>
      <w:r>
        <w:rPr>
          <w:rFonts w:hint="eastAsia" w:ascii="宋体" w:hAnsi="宋体"/>
          <w:sz w:val="24"/>
        </w:rPr>
        <w:t>等本项目</w:t>
      </w:r>
      <w:r>
        <w:rPr>
          <w:rFonts w:hint="eastAsia" w:ascii="宋体" w:hAnsi="宋体"/>
          <w:sz w:val="24"/>
          <w:lang w:val="en-US" w:eastAsia="zh-CN"/>
        </w:rPr>
        <w:t>信息</w:t>
      </w:r>
      <w:r>
        <w:rPr>
          <w:rFonts w:hint="eastAsia" w:ascii="宋体" w:hAnsi="宋体"/>
          <w:sz w:val="24"/>
        </w:rPr>
        <w:t>设备的运维服务。</w:t>
      </w:r>
    </w:p>
    <w:p>
      <w:pPr>
        <w:numPr>
          <w:ilvl w:val="0"/>
          <w:numId w:val="2"/>
        </w:numPr>
        <w:spacing w:line="360" w:lineRule="auto"/>
        <w:ind w:left="426"/>
        <w:rPr>
          <w:rFonts w:ascii="宋体" w:hAnsi="宋体"/>
          <w:sz w:val="24"/>
        </w:rPr>
      </w:pPr>
      <w:r>
        <w:rPr>
          <w:rFonts w:hint="eastAsia" w:ascii="宋体" w:hAnsi="宋体"/>
          <w:sz w:val="24"/>
        </w:rPr>
        <w:t>维护界面：故障响应及处理，终端系统软件及应用软件安装与维护，硬件故障诊断与定位、维修跟踪及归还，信息设备移位或搬迁技术支持，信息终端安全维护，科室设备类需求调研，设备预防巡检，终端设备资产管理服务，运维数据服务，桌面设备规范管理。</w:t>
      </w:r>
    </w:p>
    <w:p>
      <w:pPr>
        <w:numPr>
          <w:ilvl w:val="0"/>
          <w:numId w:val="2"/>
        </w:numPr>
        <w:spacing w:line="360" w:lineRule="auto"/>
        <w:ind w:left="426"/>
        <w:rPr>
          <w:rFonts w:ascii="宋体" w:hAnsi="宋体"/>
          <w:sz w:val="24"/>
        </w:rPr>
      </w:pPr>
      <w:r>
        <w:rPr>
          <w:rFonts w:hint="eastAsia" w:ascii="宋体" w:hAnsi="宋体"/>
          <w:sz w:val="24"/>
        </w:rPr>
        <w:t>故障维护服务：设备出现故障时能及时做出准确的诊断，采用合理的方式解决问题，从而保证设备能正常的稳定运行，日故障率不超过维护设备数</w:t>
      </w:r>
      <w:r>
        <w:rPr>
          <w:rFonts w:ascii="宋体" w:hAnsi="宋体"/>
          <w:sz w:val="24"/>
        </w:rPr>
        <w:t>1%</w:t>
      </w:r>
      <w:r>
        <w:rPr>
          <w:rFonts w:hint="eastAsia" w:ascii="宋体" w:hAnsi="宋体"/>
          <w:sz w:val="24"/>
        </w:rPr>
        <w:t>。</w:t>
      </w:r>
    </w:p>
    <w:p>
      <w:pPr>
        <w:numPr>
          <w:ilvl w:val="0"/>
          <w:numId w:val="2"/>
        </w:numPr>
        <w:spacing w:line="360" w:lineRule="auto"/>
        <w:ind w:left="426"/>
        <w:rPr>
          <w:rFonts w:ascii="宋体" w:hAnsi="宋体"/>
          <w:sz w:val="24"/>
        </w:rPr>
      </w:pPr>
      <w:r>
        <w:rPr>
          <w:rFonts w:hint="eastAsia" w:ascii="宋体" w:hAnsi="宋体"/>
          <w:sz w:val="24"/>
        </w:rPr>
        <w:t>软硬件安装与维护：计算机、P</w:t>
      </w:r>
      <w:r>
        <w:rPr>
          <w:rFonts w:ascii="宋体" w:hAnsi="宋体"/>
          <w:sz w:val="24"/>
        </w:rPr>
        <w:t>DA</w:t>
      </w:r>
      <w:r>
        <w:rPr>
          <w:rFonts w:hint="eastAsia" w:ascii="宋体" w:hAnsi="宋体"/>
          <w:sz w:val="24"/>
        </w:rPr>
        <w:t>、移动工作站、支付宝刷卡器、医保刷卡器、扫描枪、电子签名平板、摄像头、</w:t>
      </w:r>
      <w:r>
        <w:rPr>
          <w:rFonts w:hint="eastAsia" w:ascii="宋体" w:hAnsi="宋体"/>
          <w:sz w:val="24"/>
          <w:lang w:val="en-US" w:eastAsia="zh-CN"/>
        </w:rPr>
        <w:t>会议室多媒体系统</w:t>
      </w:r>
      <w:r>
        <w:rPr>
          <w:rFonts w:hint="eastAsia" w:ascii="宋体" w:hAnsi="宋体"/>
          <w:sz w:val="24"/>
        </w:rPr>
        <w:t>、投影仪等，通过安装、测试、更换故障件，保障信息终端设备等本项目所涉及设备软硬件安装，需按既定计划完成交付使用，需确保不超期、不延期。</w:t>
      </w:r>
    </w:p>
    <w:p>
      <w:pPr>
        <w:numPr>
          <w:ilvl w:val="0"/>
          <w:numId w:val="2"/>
        </w:numPr>
        <w:spacing w:line="360" w:lineRule="auto"/>
        <w:ind w:left="426"/>
        <w:rPr>
          <w:rFonts w:ascii="宋体" w:hAnsi="宋体"/>
          <w:sz w:val="24"/>
        </w:rPr>
      </w:pPr>
      <w:r>
        <w:rPr>
          <w:rFonts w:hint="eastAsia" w:ascii="宋体" w:hAnsi="宋体"/>
          <w:sz w:val="24"/>
        </w:rPr>
        <w:t>网络设备的日常维护，范围包括：</w:t>
      </w:r>
      <w:r>
        <w:rPr>
          <w:rFonts w:hint="eastAsia" w:ascii="宋体" w:hAnsi="宋体"/>
          <w:sz w:val="24"/>
          <w:lang w:val="en-US" w:eastAsia="zh-CN"/>
        </w:rPr>
        <w:t>交换机，有线和无线终端的网络开通，跳线，配置和维护</w:t>
      </w:r>
      <w:r>
        <w:rPr>
          <w:rFonts w:hint="eastAsia" w:ascii="宋体" w:hAnsi="宋体"/>
          <w:sz w:val="24"/>
        </w:rPr>
        <w:t>等，设备出现故障时能及时做出准确的诊断，采用合理的方式解决问题，从而保证网络能正常的稳定运行，并按医院信息中心的要求对整个网络实施必要的优化和重构。</w:t>
      </w:r>
    </w:p>
    <w:p>
      <w:pPr>
        <w:numPr>
          <w:ilvl w:val="0"/>
          <w:numId w:val="2"/>
        </w:numPr>
        <w:spacing w:line="360" w:lineRule="auto"/>
        <w:ind w:left="426"/>
        <w:rPr>
          <w:rFonts w:ascii="宋体" w:hAnsi="宋体"/>
          <w:sz w:val="24"/>
        </w:rPr>
      </w:pPr>
      <w:r>
        <w:rPr>
          <w:rFonts w:hint="eastAsia" w:ascii="宋体" w:hAnsi="宋体"/>
          <w:sz w:val="24"/>
          <w:lang w:val="en-US" w:eastAsia="zh-CN"/>
        </w:rPr>
        <w:t>弱电间</w:t>
      </w:r>
      <w:r>
        <w:rPr>
          <w:rFonts w:hint="eastAsia" w:ascii="宋体" w:hAnsi="宋体"/>
          <w:sz w:val="24"/>
        </w:rPr>
        <w:t>定期巡检和维护保养服务：</w:t>
      </w:r>
      <w:r>
        <w:rPr>
          <w:rFonts w:hint="eastAsia" w:ascii="宋体" w:hAnsi="宋体"/>
          <w:sz w:val="24"/>
          <w:lang w:val="en-US" w:eastAsia="zh-CN"/>
        </w:rPr>
        <w:t>弱电间每周巡检，</w:t>
      </w:r>
      <w:r>
        <w:rPr>
          <w:rFonts w:hint="eastAsia" w:ascii="宋体" w:hAnsi="宋体"/>
          <w:sz w:val="24"/>
        </w:rPr>
        <w:t>设备除尘、网络设备硬件检查、</w:t>
      </w:r>
      <w:r>
        <w:rPr>
          <w:rFonts w:hint="eastAsia" w:ascii="宋体" w:hAnsi="宋体"/>
          <w:sz w:val="24"/>
          <w:lang w:val="en-US" w:eastAsia="zh-CN"/>
        </w:rPr>
        <w:t>UPS系统和空调运行状态检查</w:t>
      </w:r>
      <w:r>
        <w:rPr>
          <w:rFonts w:hint="eastAsia" w:ascii="宋体" w:hAnsi="宋体"/>
          <w:sz w:val="24"/>
        </w:rPr>
        <w:t>等，</w:t>
      </w:r>
      <w:r>
        <w:rPr>
          <w:rFonts w:hint="eastAsia" w:ascii="宋体" w:hAnsi="宋体"/>
          <w:sz w:val="24"/>
          <w:lang w:val="en-US" w:eastAsia="zh-CN"/>
        </w:rPr>
        <w:t>保证弱电间环境，设备正常运行，线路走线规范，</w:t>
      </w:r>
      <w:r>
        <w:rPr>
          <w:rFonts w:hint="eastAsia" w:ascii="宋体" w:hAnsi="宋体"/>
          <w:sz w:val="24"/>
        </w:rPr>
        <w:t>并对潜在问题提出调整建议，对损坏的部件及时上报医院裁断处理。</w:t>
      </w:r>
    </w:p>
    <w:p>
      <w:pPr>
        <w:numPr>
          <w:ilvl w:val="0"/>
          <w:numId w:val="2"/>
        </w:numPr>
        <w:spacing w:line="360" w:lineRule="auto"/>
        <w:ind w:left="426"/>
        <w:rPr>
          <w:rFonts w:ascii="宋体" w:hAnsi="宋体"/>
          <w:sz w:val="24"/>
        </w:rPr>
      </w:pPr>
      <w:r>
        <w:rPr>
          <w:rFonts w:hint="eastAsia" w:ascii="宋体" w:hAnsi="宋体"/>
          <w:sz w:val="24"/>
          <w:lang w:val="en-US" w:eastAsia="zh-CN"/>
        </w:rPr>
        <w:t>所有终端</w:t>
      </w:r>
      <w:r>
        <w:rPr>
          <w:rFonts w:hint="eastAsia" w:ascii="宋体" w:hAnsi="宋体"/>
          <w:sz w:val="24"/>
        </w:rPr>
        <w:t>设备</w:t>
      </w:r>
      <w:r>
        <w:rPr>
          <w:rFonts w:hint="eastAsia" w:ascii="宋体" w:hAnsi="宋体"/>
          <w:sz w:val="24"/>
          <w:lang w:val="en-US" w:eastAsia="zh-CN"/>
        </w:rPr>
        <w:t>需按季度</w:t>
      </w:r>
      <w:r>
        <w:rPr>
          <w:rFonts w:hint="eastAsia" w:ascii="宋体" w:hAnsi="宋体"/>
          <w:sz w:val="24"/>
        </w:rPr>
        <w:t>进行定期</w:t>
      </w:r>
      <w:r>
        <w:rPr>
          <w:rFonts w:hint="eastAsia" w:ascii="宋体" w:hAnsi="宋体"/>
          <w:sz w:val="24"/>
          <w:lang w:val="en-US" w:eastAsia="zh-CN"/>
        </w:rPr>
        <w:t>巡检和</w:t>
      </w:r>
      <w:r>
        <w:rPr>
          <w:rFonts w:hint="eastAsia" w:ascii="宋体" w:hAnsi="宋体"/>
          <w:sz w:val="24"/>
        </w:rPr>
        <w:t>维护保养</w:t>
      </w:r>
      <w:r>
        <w:rPr>
          <w:rFonts w:hint="eastAsia" w:ascii="宋体" w:hAnsi="宋体"/>
          <w:sz w:val="24"/>
          <w:lang w:eastAsia="zh-CN"/>
        </w:rPr>
        <w:t>，</w:t>
      </w:r>
      <w:r>
        <w:rPr>
          <w:rFonts w:hint="eastAsia" w:ascii="宋体" w:hAnsi="宋体"/>
          <w:sz w:val="24"/>
          <w:lang w:val="en-US" w:eastAsia="zh-CN"/>
        </w:rPr>
        <w:t>并</w:t>
      </w:r>
      <w:r>
        <w:rPr>
          <w:rFonts w:hint="eastAsia" w:ascii="宋体" w:hAnsi="宋体"/>
          <w:sz w:val="24"/>
        </w:rPr>
        <w:t>提供本次工作的维护保养报告，包括</w:t>
      </w:r>
      <w:r>
        <w:rPr>
          <w:rFonts w:hint="eastAsia" w:ascii="宋体" w:hAnsi="宋体"/>
          <w:sz w:val="24"/>
          <w:lang w:val="en-US" w:eastAsia="zh-CN"/>
        </w:rPr>
        <w:t>终端状态，</w:t>
      </w:r>
      <w:r>
        <w:rPr>
          <w:rFonts w:hint="eastAsia" w:ascii="宋体" w:hAnsi="宋体"/>
          <w:sz w:val="24"/>
        </w:rPr>
        <w:t>系统诊断过程、</w:t>
      </w:r>
      <w:r>
        <w:rPr>
          <w:rFonts w:hint="eastAsia" w:ascii="宋体" w:hAnsi="宋体"/>
          <w:sz w:val="24"/>
          <w:lang w:val="en-US" w:eastAsia="zh-CN"/>
        </w:rPr>
        <w:t>巡检</w:t>
      </w:r>
      <w:r>
        <w:rPr>
          <w:rFonts w:hint="eastAsia" w:ascii="宋体" w:hAnsi="宋体"/>
          <w:sz w:val="24"/>
        </w:rPr>
        <w:t>操作步骤、必要的系统优化调整建议等。</w:t>
      </w:r>
    </w:p>
    <w:p>
      <w:pPr>
        <w:numPr>
          <w:ilvl w:val="0"/>
          <w:numId w:val="2"/>
        </w:numPr>
        <w:spacing w:line="360" w:lineRule="auto"/>
        <w:ind w:left="426"/>
        <w:rPr>
          <w:rFonts w:ascii="宋体" w:hAnsi="宋体"/>
          <w:sz w:val="24"/>
        </w:rPr>
      </w:pPr>
      <w:r>
        <w:rPr>
          <w:rFonts w:hint="eastAsia" w:ascii="宋体" w:hAnsi="宋体"/>
          <w:sz w:val="24"/>
        </w:rPr>
        <w:t>在进行故障排查时，保证不会因为对设备的操作导致其他无关设备的异常和故障，或引发故障的进一步扩大。</w:t>
      </w:r>
    </w:p>
    <w:p>
      <w:pPr>
        <w:numPr>
          <w:ilvl w:val="0"/>
          <w:numId w:val="2"/>
        </w:numPr>
        <w:spacing w:line="360" w:lineRule="auto"/>
        <w:ind w:left="426"/>
        <w:rPr>
          <w:rFonts w:ascii="宋体" w:hAnsi="宋体"/>
          <w:sz w:val="24"/>
        </w:rPr>
      </w:pPr>
      <w:r>
        <w:rPr>
          <w:rFonts w:hint="eastAsia" w:ascii="宋体" w:hAnsi="宋体"/>
          <w:sz w:val="24"/>
        </w:rPr>
        <w:t>驻场工程师提供现场技术保障，严格按照医院规章制度提供服务。</w:t>
      </w:r>
    </w:p>
    <w:p>
      <w:pPr>
        <w:numPr>
          <w:ilvl w:val="0"/>
          <w:numId w:val="2"/>
        </w:numPr>
        <w:spacing w:line="360" w:lineRule="auto"/>
        <w:ind w:left="426"/>
        <w:rPr>
          <w:rFonts w:ascii="宋体" w:hAnsi="宋体"/>
          <w:sz w:val="24"/>
        </w:rPr>
      </w:pPr>
      <w:r>
        <w:rPr>
          <w:rFonts w:hint="eastAsia" w:ascii="宋体" w:hAnsi="宋体"/>
          <w:sz w:val="24"/>
        </w:rPr>
        <w:t>管理监督：定期对维修服务工作进行评估分析，把现场问题及时汇报给医院信息中心。</w:t>
      </w:r>
    </w:p>
    <w:p>
      <w:pPr>
        <w:numPr>
          <w:ilvl w:val="0"/>
          <w:numId w:val="2"/>
        </w:numPr>
        <w:spacing w:line="360" w:lineRule="auto"/>
        <w:rPr>
          <w:rFonts w:ascii="宋体" w:hAnsi="宋体"/>
          <w:sz w:val="24"/>
        </w:rPr>
      </w:pPr>
      <w:r>
        <w:rPr>
          <w:rFonts w:hint="eastAsia" w:ascii="宋体" w:hAnsi="宋体" w:cs="宋体"/>
          <w:sz w:val="24"/>
        </w:rPr>
        <w:t>参加本项目的驻场服务人员需遵守医院的规章制度，遵循医院相关工作流程。投标驻场人员的配置名单项目实施前，服务方须提交驻场人员的资料交由医院审核；驻场项目经理和其他驻场人员未经院方同意，不得私自撤离和随意更换。</w:t>
      </w:r>
    </w:p>
    <w:p>
      <w:pPr>
        <w:numPr>
          <w:ilvl w:val="0"/>
          <w:numId w:val="2"/>
        </w:numPr>
        <w:spacing w:line="360" w:lineRule="auto"/>
        <w:rPr>
          <w:rFonts w:ascii="宋体" w:hAnsi="宋体" w:cs="宋体"/>
          <w:sz w:val="24"/>
        </w:rPr>
      </w:pPr>
      <w:r>
        <w:rPr>
          <w:rFonts w:hint="eastAsia" w:ascii="宋体" w:hAnsi="宋体" w:cs="宋体"/>
          <w:sz w:val="24"/>
        </w:rPr>
        <w:t>所有驻场服务人员需按医院工作日安排及日常工作时间进行上下班考勤</w:t>
      </w:r>
      <w:r>
        <w:rPr>
          <w:rFonts w:hint="eastAsia" w:ascii="宋体" w:hAnsi="宋体" w:cs="宋体"/>
          <w:sz w:val="24"/>
          <w:lang w:eastAsia="zh-CN"/>
        </w:rPr>
        <w:t>，</w:t>
      </w:r>
      <w:r>
        <w:rPr>
          <w:rFonts w:hint="eastAsia" w:ascii="宋体" w:hAnsi="宋体" w:cs="宋体"/>
          <w:sz w:val="24"/>
        </w:rPr>
        <w:t>节假日</w:t>
      </w:r>
      <w:r>
        <w:rPr>
          <w:rFonts w:hint="eastAsia" w:ascii="宋体" w:hAnsi="宋体" w:cs="宋体"/>
          <w:sz w:val="24"/>
          <w:lang w:val="en-US" w:eastAsia="zh-CN"/>
        </w:rPr>
        <w:t>8-17点一人值班</w:t>
      </w:r>
      <w:r>
        <w:rPr>
          <w:rFonts w:hint="eastAsia" w:ascii="宋体" w:hAnsi="宋体" w:cs="宋体"/>
          <w:sz w:val="24"/>
        </w:rPr>
        <w:t>，</w:t>
      </w:r>
      <w:r>
        <w:rPr>
          <w:rFonts w:hint="eastAsia" w:ascii="宋体" w:hAnsi="宋体" w:cs="宋体"/>
          <w:sz w:val="24"/>
          <w:lang w:val="en-US" w:eastAsia="zh-CN"/>
        </w:rPr>
        <w:t>其余休息时间采取电话听班，配备</w:t>
      </w:r>
      <w:r>
        <w:rPr>
          <w:rFonts w:hint="eastAsia" w:ascii="宋体" w:hAnsi="宋体" w:cs="宋体"/>
          <w:sz w:val="24"/>
        </w:rPr>
        <w:t>值班</w:t>
      </w:r>
      <w:r>
        <w:rPr>
          <w:rFonts w:hint="eastAsia" w:ascii="宋体" w:hAnsi="宋体" w:cs="宋体"/>
          <w:sz w:val="24"/>
          <w:lang w:val="en-US" w:eastAsia="zh-CN"/>
        </w:rPr>
        <w:t>电话</w:t>
      </w:r>
      <w:r>
        <w:rPr>
          <w:rFonts w:hint="eastAsia" w:ascii="宋体" w:hAnsi="宋体" w:cs="宋体"/>
          <w:sz w:val="24"/>
        </w:rPr>
        <w:t>保障</w:t>
      </w:r>
      <w:r>
        <w:rPr>
          <w:rFonts w:hint="eastAsia" w:ascii="宋体" w:hAnsi="宋体" w:cs="宋体"/>
          <w:sz w:val="24"/>
          <w:lang w:val="en-US" w:eastAsia="zh-CN"/>
        </w:rPr>
        <w:t>接听报修需求</w:t>
      </w:r>
      <w:r>
        <w:rPr>
          <w:rFonts w:hint="eastAsia" w:ascii="宋体" w:hAnsi="宋体" w:cs="宋体"/>
          <w:sz w:val="24"/>
        </w:rPr>
        <w:t>；如遇任务繁重时应及时加派人手，以保证业务的正常运作及开展。</w:t>
      </w:r>
    </w:p>
    <w:p>
      <w:pPr>
        <w:keepNext/>
        <w:keepLines/>
        <w:numPr>
          <w:ilvl w:val="0"/>
          <w:numId w:val="0"/>
        </w:numPr>
        <w:tabs>
          <w:tab w:val="left" w:pos="0"/>
        </w:tabs>
        <w:adjustRightInd w:val="0"/>
        <w:spacing w:before="260" w:after="260" w:line="360" w:lineRule="auto"/>
        <w:ind w:leftChars="0"/>
        <w:jc w:val="left"/>
        <w:outlineLvl w:val="1"/>
        <w:rPr>
          <w:rFonts w:ascii="宋体" w:hAnsi="宋体"/>
          <w:b/>
          <w:bCs/>
          <w:sz w:val="24"/>
        </w:rPr>
      </w:pPr>
      <w:r>
        <w:rPr>
          <w:rFonts w:hint="eastAsia" w:ascii="宋体" w:hAnsi="宋体"/>
          <w:b/>
          <w:bCs/>
          <w:sz w:val="24"/>
          <w:lang w:val="en-US" w:eastAsia="zh-CN"/>
        </w:rPr>
        <w:t>6.</w:t>
      </w:r>
      <w:r>
        <w:rPr>
          <w:rFonts w:hint="eastAsia" w:ascii="宋体" w:hAnsi="宋体"/>
          <w:b/>
          <w:bCs/>
          <w:sz w:val="24"/>
        </w:rPr>
        <w:t>运维平台及数据服务</w:t>
      </w:r>
    </w:p>
    <w:p>
      <w:pPr>
        <w:spacing w:line="360" w:lineRule="auto"/>
        <w:ind w:firstLine="482" w:firstLineChars="200"/>
        <w:jc w:val="left"/>
        <w:rPr>
          <w:rFonts w:ascii="宋体" w:hAnsi="宋体"/>
          <w:b/>
          <w:sz w:val="24"/>
        </w:rPr>
      </w:pPr>
      <w:r>
        <w:rPr>
          <w:rFonts w:ascii="宋体" w:hAnsi="宋体"/>
          <w:b/>
          <w:sz w:val="24"/>
        </w:rPr>
        <w:t>1</w:t>
      </w:r>
      <w:r>
        <w:rPr>
          <w:rFonts w:hint="eastAsia" w:ascii="宋体" w:hAnsi="宋体"/>
          <w:b/>
          <w:sz w:val="24"/>
        </w:rPr>
        <w:t>）运维平台交付要求</w:t>
      </w:r>
    </w:p>
    <w:p>
      <w:pPr>
        <w:spacing w:line="360" w:lineRule="auto"/>
        <w:ind w:firstLine="480" w:firstLineChars="200"/>
        <w:jc w:val="left"/>
        <w:rPr>
          <w:rFonts w:ascii="宋体" w:hAnsi="宋体"/>
          <w:sz w:val="24"/>
        </w:rPr>
      </w:pPr>
      <w:r>
        <w:rPr>
          <w:rFonts w:hint="eastAsia" w:ascii="宋体" w:hAnsi="宋体"/>
          <w:sz w:val="24"/>
        </w:rPr>
        <w:t>为了优化服务流程，有效管控服务过程，具有持续改进管理措施，本项目要求服务商支持提供或配套医院已有</w:t>
      </w:r>
      <w:r>
        <w:rPr>
          <w:rFonts w:ascii="宋体" w:hAnsi="宋体"/>
          <w:sz w:val="24"/>
        </w:rPr>
        <w:t>IT</w:t>
      </w:r>
      <w:r>
        <w:rPr>
          <w:rFonts w:hint="eastAsia" w:ascii="宋体" w:hAnsi="宋体"/>
          <w:sz w:val="24"/>
        </w:rPr>
        <w:t>运维服务管理系统，实现</w:t>
      </w:r>
      <w:r>
        <w:rPr>
          <w:rFonts w:ascii="宋体" w:hAnsi="宋体"/>
          <w:sz w:val="24"/>
        </w:rPr>
        <w:t>IT</w:t>
      </w:r>
      <w:r>
        <w:rPr>
          <w:rFonts w:hint="eastAsia" w:ascii="宋体" w:hAnsi="宋体"/>
          <w:sz w:val="24"/>
        </w:rPr>
        <w:t>服务的全流程管理和服务质量保障，提供基于</w:t>
      </w:r>
      <w:r>
        <w:rPr>
          <w:rFonts w:ascii="宋体" w:hAnsi="宋体"/>
          <w:sz w:val="24"/>
        </w:rPr>
        <w:t>IT</w:t>
      </w:r>
      <w:r>
        <w:rPr>
          <w:rFonts w:hint="eastAsia" w:ascii="宋体" w:hAnsi="宋体"/>
          <w:sz w:val="24"/>
          <w:lang w:val="en-US" w:eastAsia="zh-CN"/>
        </w:rPr>
        <w:t>IL</w:t>
      </w:r>
      <w:r>
        <w:rPr>
          <w:rFonts w:hint="eastAsia" w:ascii="宋体" w:hAnsi="宋体"/>
          <w:sz w:val="24"/>
        </w:rPr>
        <w:t>管理标准的</w:t>
      </w:r>
      <w:r>
        <w:rPr>
          <w:rFonts w:ascii="宋体" w:hAnsi="宋体"/>
          <w:sz w:val="24"/>
        </w:rPr>
        <w:t>IT</w:t>
      </w:r>
      <w:r>
        <w:rPr>
          <w:rFonts w:hint="eastAsia" w:ascii="宋体" w:hAnsi="宋体"/>
          <w:sz w:val="24"/>
        </w:rPr>
        <w:t>运维服务。</w:t>
      </w:r>
    </w:p>
    <w:p>
      <w:pPr>
        <w:spacing w:line="360" w:lineRule="auto"/>
        <w:ind w:firstLine="480" w:firstLineChars="200"/>
        <w:jc w:val="left"/>
        <w:rPr>
          <w:rFonts w:ascii="宋体" w:hAnsi="宋体"/>
          <w:sz w:val="24"/>
          <w:highlight w:val="none"/>
        </w:rPr>
      </w:pPr>
      <w:r>
        <w:rPr>
          <w:rFonts w:hint="eastAsia" w:ascii="宋体" w:hAnsi="宋体"/>
          <w:sz w:val="24"/>
          <w:highlight w:val="none"/>
        </w:rPr>
        <w:t>通过</w:t>
      </w:r>
      <w:r>
        <w:rPr>
          <w:rFonts w:ascii="宋体" w:hAnsi="宋体"/>
          <w:sz w:val="24"/>
          <w:highlight w:val="none"/>
        </w:rPr>
        <w:t>IT</w:t>
      </w:r>
      <w:r>
        <w:rPr>
          <w:rFonts w:hint="eastAsia" w:ascii="宋体" w:hAnsi="宋体"/>
          <w:sz w:val="24"/>
          <w:highlight w:val="none"/>
        </w:rPr>
        <w:t>运维服务管理系统，建立统一的工单服务平台，对院区所有硬件、软件报修统一分派给各专职人员，全程在线闭环管理，</w:t>
      </w:r>
      <w:r>
        <w:rPr>
          <w:rFonts w:hint="eastAsia" w:ascii="宋体" w:hAnsi="宋体"/>
          <w:sz w:val="24"/>
          <w:highlight w:val="none"/>
          <w:lang w:val="en-US" w:eastAsia="zh-CN"/>
        </w:rPr>
        <w:t>包括派单-接单-处理-跟踪-评价-完成等过程节点。</w:t>
      </w:r>
      <w:r>
        <w:rPr>
          <w:rFonts w:hint="eastAsia" w:ascii="宋体" w:hAnsi="宋体"/>
          <w:sz w:val="24"/>
          <w:highlight w:val="none"/>
        </w:rPr>
        <w:t>以此来保证服务方的服务能力和服务质量。</w:t>
      </w:r>
    </w:p>
    <w:p>
      <w:pPr>
        <w:spacing w:line="360" w:lineRule="auto"/>
        <w:ind w:firstLine="480" w:firstLineChars="200"/>
        <w:jc w:val="left"/>
        <w:rPr>
          <w:rFonts w:ascii="宋体" w:hAnsi="宋体"/>
          <w:sz w:val="24"/>
          <w:highlight w:val="none"/>
        </w:rPr>
      </w:pPr>
      <w:r>
        <w:rPr>
          <w:rFonts w:hint="eastAsia" w:ascii="宋体" w:hAnsi="宋体"/>
          <w:sz w:val="24"/>
          <w:highlight w:val="none"/>
        </w:rPr>
        <w:t>要求服务方提供的</w:t>
      </w:r>
      <w:r>
        <w:rPr>
          <w:rFonts w:ascii="宋体" w:hAnsi="宋体"/>
          <w:sz w:val="24"/>
          <w:highlight w:val="none"/>
        </w:rPr>
        <w:t>IT</w:t>
      </w:r>
      <w:r>
        <w:rPr>
          <w:rFonts w:hint="eastAsia" w:ascii="宋体" w:hAnsi="宋体"/>
          <w:sz w:val="24"/>
          <w:highlight w:val="none"/>
        </w:rPr>
        <w:t>运维服务管理软件必须是成熟的正版软件（要求提供产品著作权登记证书为证），必须拥有自主知识产权或拥有该产品所有权；若是第三方软件，必须有原厂正式授权，避免涉及版权问题及后续升级等纠纷的发生。</w:t>
      </w:r>
    </w:p>
    <w:p>
      <w:pPr>
        <w:spacing w:line="360" w:lineRule="auto"/>
        <w:ind w:firstLine="480" w:firstLineChars="200"/>
        <w:jc w:val="left"/>
        <w:rPr>
          <w:rFonts w:ascii="宋体" w:hAnsi="宋体"/>
          <w:sz w:val="24"/>
        </w:rPr>
      </w:pPr>
      <w:r>
        <w:rPr>
          <w:rFonts w:hint="eastAsia" w:ascii="宋体" w:hAnsi="宋体"/>
          <w:sz w:val="24"/>
          <w:highlight w:val="none"/>
        </w:rPr>
        <w:t>服务方日常设备维护需符合</w:t>
      </w:r>
      <w:r>
        <w:rPr>
          <w:rFonts w:ascii="宋体" w:hAnsi="宋体"/>
          <w:sz w:val="24"/>
          <w:highlight w:val="none"/>
        </w:rPr>
        <w:t>ITSS</w:t>
      </w:r>
      <w:r>
        <w:rPr>
          <w:rFonts w:hint="eastAsia" w:ascii="宋体" w:hAnsi="宋体"/>
          <w:sz w:val="24"/>
          <w:highlight w:val="none"/>
        </w:rPr>
        <w:t>服务标准和规范，做到服务有记录、过程</w:t>
      </w:r>
      <w:r>
        <w:rPr>
          <w:rFonts w:hint="eastAsia" w:ascii="宋体" w:hAnsi="宋体"/>
          <w:sz w:val="24"/>
        </w:rPr>
        <w:t>可追溯、处理有结果。按时提交巡检记录和运维报告，发现问题及时整改。</w:t>
      </w:r>
    </w:p>
    <w:p>
      <w:pPr>
        <w:spacing w:line="360" w:lineRule="auto"/>
        <w:ind w:firstLine="480" w:firstLineChars="200"/>
        <w:jc w:val="left"/>
        <w:rPr>
          <w:rFonts w:ascii="宋体" w:hAnsi="宋体"/>
          <w:sz w:val="24"/>
        </w:rPr>
      </w:pPr>
      <w:r>
        <w:rPr>
          <w:rFonts w:hint="eastAsia" w:ascii="宋体" w:hAnsi="宋体"/>
          <w:sz w:val="24"/>
        </w:rPr>
        <w:t>服务方应严格将文档管理贯穿于整个项目全过程中。文档提交及文档质量将作为医院考核的重要依据。</w:t>
      </w:r>
    </w:p>
    <w:p>
      <w:pPr>
        <w:spacing w:line="360" w:lineRule="auto"/>
        <w:ind w:firstLine="482" w:firstLineChars="200"/>
        <w:jc w:val="left"/>
        <w:rPr>
          <w:rFonts w:ascii="宋体" w:hAnsi="宋体"/>
          <w:b/>
          <w:sz w:val="24"/>
        </w:rPr>
      </w:pPr>
      <w:r>
        <w:rPr>
          <w:rFonts w:ascii="宋体" w:hAnsi="宋体"/>
          <w:b/>
          <w:sz w:val="24"/>
        </w:rPr>
        <w:t>2</w:t>
      </w:r>
      <w:r>
        <w:rPr>
          <w:rFonts w:hint="eastAsia" w:ascii="宋体" w:hAnsi="宋体"/>
          <w:b/>
          <w:sz w:val="24"/>
        </w:rPr>
        <w:t>）运维数据分析服务</w:t>
      </w:r>
    </w:p>
    <w:p>
      <w:pPr>
        <w:spacing w:line="360" w:lineRule="auto"/>
        <w:ind w:firstLine="480" w:firstLineChars="200"/>
        <w:jc w:val="left"/>
        <w:rPr>
          <w:rFonts w:ascii="宋体" w:hAnsi="宋体"/>
          <w:sz w:val="24"/>
          <w:highlight w:val="none"/>
        </w:rPr>
      </w:pPr>
      <w:r>
        <w:rPr>
          <w:rFonts w:hint="eastAsia" w:ascii="宋体" w:hAnsi="宋体"/>
          <w:sz w:val="24"/>
        </w:rPr>
        <w:t>运维过程所产生的服务数据均归医院所有，所配置运维平台需具备严紧的数据安全防护措施和实施方案，</w:t>
      </w:r>
      <w:r>
        <w:rPr>
          <w:rFonts w:hint="eastAsia" w:ascii="宋体" w:hAnsi="宋体"/>
          <w:sz w:val="24"/>
          <w:highlight w:val="none"/>
        </w:rPr>
        <w:t>平台登录界面需支持扫码授权登录方式，不接受账号登录方式。</w:t>
      </w:r>
    </w:p>
    <w:p>
      <w:pPr>
        <w:spacing w:line="360" w:lineRule="auto"/>
        <w:ind w:firstLine="480" w:firstLineChars="200"/>
        <w:jc w:val="left"/>
        <w:rPr>
          <w:rFonts w:ascii="宋体" w:hAnsi="宋体"/>
          <w:sz w:val="24"/>
        </w:rPr>
      </w:pPr>
      <w:r>
        <w:rPr>
          <w:rFonts w:hint="eastAsia" w:ascii="宋体" w:hAnsi="宋体"/>
          <w:sz w:val="24"/>
        </w:rPr>
        <w:t>中标服务商需具备成熟的运维数据分析经验，需提供关于信息桌面终端、网络运行状况、数据中心设备、医院应用软件运行过程中所产生的服务数据，通过多维度分析数据，提供有效、有价值数据，供院方决策所用。</w:t>
      </w:r>
    </w:p>
    <w:p>
      <w:pPr>
        <w:spacing w:line="360" w:lineRule="auto"/>
        <w:ind w:firstLine="480" w:firstLineChars="200"/>
        <w:jc w:val="left"/>
        <w:rPr>
          <w:rFonts w:ascii="宋体" w:hAnsi="宋体"/>
          <w:sz w:val="24"/>
        </w:rPr>
      </w:pPr>
      <w:r>
        <w:rPr>
          <w:rFonts w:hint="eastAsia" w:ascii="宋体" w:hAnsi="宋体"/>
          <w:sz w:val="24"/>
        </w:rPr>
        <w:t>按月、季度、年度提供运维数据分析报告，包括基础服务数据、运维指标完成度、运维成效分析、满意度指标达成度、设备健康度等服务报告。</w:t>
      </w:r>
    </w:p>
    <w:p>
      <w:pPr>
        <w:spacing w:line="360" w:lineRule="auto"/>
        <w:ind w:firstLine="482" w:firstLineChars="200"/>
        <w:jc w:val="left"/>
        <w:rPr>
          <w:rFonts w:ascii="宋体" w:hAnsi="宋体"/>
          <w:b/>
          <w:sz w:val="24"/>
        </w:rPr>
      </w:pPr>
      <w:r>
        <w:rPr>
          <w:rFonts w:ascii="宋体" w:hAnsi="宋体"/>
          <w:b/>
          <w:sz w:val="24"/>
        </w:rPr>
        <w:t>3</w:t>
      </w:r>
      <w:r>
        <w:rPr>
          <w:rFonts w:hint="eastAsia" w:ascii="宋体" w:hAnsi="宋体"/>
          <w:b/>
          <w:sz w:val="24"/>
        </w:rPr>
        <w:t>）运维平台技术配置要求</w:t>
      </w:r>
    </w:p>
    <w:tbl>
      <w:tblPr>
        <w:tblStyle w:val="5"/>
        <w:tblW w:w="48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4"/>
        <w:gridCol w:w="6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7" w:type="pct"/>
            <w:noWrap w:val="0"/>
            <w:vAlign w:val="center"/>
          </w:tcPr>
          <w:p>
            <w:pPr>
              <w:spacing w:line="360" w:lineRule="auto"/>
              <w:jc w:val="center"/>
              <w:rPr>
                <w:rFonts w:ascii="宋体" w:hAnsi="宋体"/>
                <w:sz w:val="24"/>
              </w:rPr>
            </w:pPr>
            <w:r>
              <w:rPr>
                <w:rFonts w:hint="eastAsia" w:ascii="宋体" w:hAnsi="宋体"/>
                <w:sz w:val="24"/>
              </w:rPr>
              <w:t>指标项</w:t>
            </w:r>
          </w:p>
        </w:tc>
        <w:tc>
          <w:tcPr>
            <w:tcW w:w="3982" w:type="pct"/>
            <w:noWrap w:val="0"/>
            <w:vAlign w:val="center"/>
          </w:tcPr>
          <w:p>
            <w:pPr>
              <w:spacing w:line="360" w:lineRule="auto"/>
              <w:jc w:val="center"/>
              <w:rPr>
                <w:rFonts w:ascii="宋体" w:hAnsi="宋体"/>
                <w:sz w:val="24"/>
              </w:rPr>
            </w:pPr>
            <w:r>
              <w:rPr>
                <w:rFonts w:hint="eastAsia" w:ascii="宋体" w:hAnsi="宋体"/>
                <w:sz w:val="24"/>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7" w:type="pct"/>
            <w:noWrap w:val="0"/>
            <w:vAlign w:val="center"/>
          </w:tcPr>
          <w:p>
            <w:pPr>
              <w:spacing w:line="360" w:lineRule="auto"/>
              <w:jc w:val="center"/>
              <w:rPr>
                <w:rFonts w:ascii="宋体" w:hAnsi="宋体"/>
                <w:sz w:val="24"/>
              </w:rPr>
            </w:pPr>
            <w:r>
              <w:rPr>
                <w:rFonts w:hint="eastAsia" w:ascii="宋体" w:hAnsi="宋体"/>
                <w:sz w:val="24"/>
                <w:lang w:val="en-US" w:eastAsia="zh-CN"/>
              </w:rPr>
              <w:t>1</w:t>
            </w:r>
            <w:r>
              <w:rPr>
                <w:rFonts w:hint="eastAsia" w:ascii="宋体" w:hAnsi="宋体"/>
                <w:sz w:val="24"/>
              </w:rPr>
              <w:t>、语音功能</w:t>
            </w:r>
          </w:p>
        </w:tc>
        <w:tc>
          <w:tcPr>
            <w:tcW w:w="3982" w:type="pct"/>
            <w:noWrap w:val="0"/>
            <w:vAlign w:val="center"/>
          </w:tcPr>
          <w:p>
            <w:pPr>
              <w:spacing w:line="360" w:lineRule="auto"/>
              <w:jc w:val="left"/>
              <w:rPr>
                <w:rFonts w:ascii="宋体" w:hAnsi="宋体"/>
                <w:sz w:val="24"/>
              </w:rPr>
            </w:pPr>
            <w:r>
              <w:rPr>
                <w:rFonts w:ascii="宋体" w:hAnsi="宋体"/>
                <w:sz w:val="24"/>
              </w:rPr>
              <w:t>1.</w:t>
            </w:r>
            <w:r>
              <w:rPr>
                <w:rFonts w:hint="eastAsia" w:ascii="宋体" w:hAnsi="宋体"/>
                <w:sz w:val="24"/>
              </w:rPr>
              <w:t>对电话语音实时录音并与工单关联同步，工程师端可实时播放语音信息，关联工单派单状态等功能。</w:t>
            </w:r>
            <w:r>
              <w:rPr>
                <w:rFonts w:ascii="宋体" w:hAnsi="宋体"/>
                <w:sz w:val="24"/>
              </w:rPr>
              <w:t>2.</w:t>
            </w:r>
            <w:r>
              <w:rPr>
                <w:rFonts w:hint="eastAsia" w:ascii="宋体" w:hAnsi="宋体"/>
                <w:sz w:val="24"/>
              </w:rPr>
              <w:t>钉钉医生用户端可支持语音工单报修。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7" w:type="pct"/>
            <w:noWrap w:val="0"/>
            <w:vAlign w:val="center"/>
          </w:tcPr>
          <w:p>
            <w:pPr>
              <w:spacing w:line="360" w:lineRule="auto"/>
              <w:jc w:val="center"/>
              <w:rPr>
                <w:rFonts w:ascii="宋体" w:hAnsi="宋体"/>
                <w:sz w:val="24"/>
              </w:rPr>
            </w:pPr>
            <w:r>
              <w:rPr>
                <w:rFonts w:hint="eastAsia" w:ascii="宋体" w:hAnsi="宋体"/>
                <w:sz w:val="24"/>
                <w:lang w:val="en-US" w:eastAsia="zh-CN"/>
              </w:rPr>
              <w:t>2</w:t>
            </w:r>
            <w:r>
              <w:rPr>
                <w:rFonts w:hint="eastAsia" w:ascii="宋体" w:hAnsi="宋体"/>
                <w:sz w:val="24"/>
              </w:rPr>
              <w:t>、业务类型管理</w:t>
            </w:r>
          </w:p>
        </w:tc>
        <w:tc>
          <w:tcPr>
            <w:tcW w:w="3982" w:type="pct"/>
            <w:noWrap w:val="0"/>
            <w:vAlign w:val="center"/>
          </w:tcPr>
          <w:p>
            <w:pPr>
              <w:spacing w:line="360" w:lineRule="auto"/>
              <w:jc w:val="left"/>
              <w:rPr>
                <w:rFonts w:ascii="宋体" w:hAnsi="宋体"/>
                <w:sz w:val="24"/>
              </w:rPr>
            </w:pPr>
            <w:r>
              <w:rPr>
                <w:rFonts w:ascii="宋体" w:hAnsi="宋体"/>
                <w:sz w:val="24"/>
              </w:rPr>
              <w:t>1.</w:t>
            </w:r>
            <w:r>
              <w:rPr>
                <w:rFonts w:hint="eastAsia" w:ascii="宋体" w:hAnsi="宋体"/>
                <w:sz w:val="24"/>
              </w:rPr>
              <w:t>业务类型名称、图标L</w:t>
            </w:r>
            <w:r>
              <w:rPr>
                <w:rFonts w:ascii="宋体" w:hAnsi="宋体"/>
                <w:sz w:val="24"/>
              </w:rPr>
              <w:t>OGO</w:t>
            </w:r>
            <w:r>
              <w:rPr>
                <w:rFonts w:hint="eastAsia" w:ascii="宋体" w:hAnsi="宋体"/>
                <w:sz w:val="24"/>
              </w:rPr>
              <w:t>可支持医院自定义。</w:t>
            </w:r>
          </w:p>
          <w:p>
            <w:pPr>
              <w:spacing w:line="360" w:lineRule="auto"/>
              <w:jc w:val="left"/>
              <w:rPr>
                <w:rFonts w:hint="default" w:ascii="宋体" w:hAnsi="宋体" w:eastAsia="宋体"/>
                <w:sz w:val="24"/>
                <w:lang w:val="en-US" w:eastAsia="zh-CN"/>
              </w:rPr>
            </w:pPr>
            <w:r>
              <w:rPr>
                <w:rFonts w:ascii="宋体" w:hAnsi="宋体"/>
                <w:sz w:val="24"/>
              </w:rPr>
              <w:t>2.</w:t>
            </w:r>
            <w:r>
              <w:rPr>
                <w:rFonts w:hint="eastAsia" w:ascii="宋体" w:hAnsi="宋体"/>
                <w:sz w:val="24"/>
              </w:rPr>
              <w:t>工单类型至少包括故障工单、巡检工单、任务工单；</w:t>
            </w:r>
            <w:r>
              <w:rPr>
                <w:rFonts w:hint="eastAsia" w:ascii="宋体" w:hAnsi="宋体"/>
                <w:sz w:val="24"/>
                <w:lang w:val="en-US" w:eastAsia="zh-CN"/>
              </w:rPr>
              <w:t>要求都能上传图片。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7" w:type="pct"/>
            <w:noWrap w:val="0"/>
            <w:vAlign w:val="center"/>
          </w:tcPr>
          <w:p>
            <w:pPr>
              <w:spacing w:line="360" w:lineRule="auto"/>
              <w:jc w:val="center"/>
              <w:rPr>
                <w:rFonts w:ascii="宋体" w:hAnsi="宋体"/>
                <w:sz w:val="24"/>
              </w:rPr>
            </w:pPr>
            <w:r>
              <w:rPr>
                <w:rFonts w:hint="eastAsia" w:ascii="宋体" w:hAnsi="宋体"/>
                <w:sz w:val="24"/>
                <w:lang w:val="en-US" w:eastAsia="zh-CN"/>
              </w:rPr>
              <w:t>3</w:t>
            </w:r>
            <w:r>
              <w:rPr>
                <w:rFonts w:hint="eastAsia" w:ascii="宋体" w:hAnsi="宋体"/>
                <w:sz w:val="24"/>
              </w:rPr>
              <w:t>、团队管理</w:t>
            </w:r>
          </w:p>
        </w:tc>
        <w:tc>
          <w:tcPr>
            <w:tcW w:w="3982" w:type="pct"/>
            <w:noWrap w:val="0"/>
            <w:vAlign w:val="center"/>
          </w:tcPr>
          <w:p>
            <w:pPr>
              <w:spacing w:line="360" w:lineRule="auto"/>
              <w:jc w:val="left"/>
              <w:rPr>
                <w:rFonts w:ascii="宋体" w:hAnsi="宋体"/>
                <w:sz w:val="24"/>
              </w:rPr>
            </w:pPr>
            <w:r>
              <w:rPr>
                <w:rFonts w:hint="eastAsia" w:ascii="宋体" w:hAnsi="宋体"/>
                <w:sz w:val="24"/>
              </w:rPr>
              <w:t>服务团队支持混合团队和专属团队属性，可针对团队进行排班编辑管理。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7" w:type="pct"/>
            <w:noWrap w:val="0"/>
            <w:vAlign w:val="center"/>
          </w:tcPr>
          <w:p>
            <w:pPr>
              <w:spacing w:line="360" w:lineRule="auto"/>
              <w:jc w:val="center"/>
              <w:rPr>
                <w:rFonts w:ascii="宋体" w:hAnsi="宋体"/>
                <w:sz w:val="24"/>
              </w:rPr>
            </w:pPr>
            <w:r>
              <w:rPr>
                <w:rFonts w:hint="eastAsia" w:ascii="宋体" w:hAnsi="宋体"/>
                <w:sz w:val="24"/>
                <w:lang w:val="en-US" w:eastAsia="zh-CN"/>
              </w:rPr>
              <w:t>4</w:t>
            </w:r>
            <w:r>
              <w:rPr>
                <w:rFonts w:hint="eastAsia" w:ascii="宋体" w:hAnsi="宋体"/>
                <w:sz w:val="24"/>
              </w:rPr>
              <w:t>、报表中心</w:t>
            </w:r>
          </w:p>
        </w:tc>
        <w:tc>
          <w:tcPr>
            <w:tcW w:w="3982" w:type="pct"/>
            <w:noWrap w:val="0"/>
            <w:vAlign w:val="center"/>
          </w:tcPr>
          <w:p>
            <w:pPr>
              <w:spacing w:line="360" w:lineRule="auto"/>
              <w:jc w:val="left"/>
              <w:rPr>
                <w:rFonts w:ascii="宋体" w:hAnsi="宋体"/>
                <w:sz w:val="24"/>
              </w:rPr>
            </w:pPr>
            <w:r>
              <w:rPr>
                <w:rFonts w:ascii="宋体" w:hAnsi="宋体"/>
                <w:sz w:val="24"/>
              </w:rPr>
              <w:t>1.</w:t>
            </w:r>
            <w:r>
              <w:rPr>
                <w:rFonts w:hint="eastAsia" w:ascii="宋体" w:hAnsi="宋体"/>
                <w:sz w:val="24"/>
              </w:rPr>
              <w:t>报表中心至少包括基础报表、绩效报表、定制报表功能；</w:t>
            </w:r>
          </w:p>
          <w:p>
            <w:pPr>
              <w:spacing w:line="360" w:lineRule="auto"/>
              <w:jc w:val="left"/>
              <w:rPr>
                <w:rFonts w:ascii="宋体" w:hAnsi="宋体"/>
                <w:sz w:val="24"/>
              </w:rPr>
            </w:pPr>
            <w:r>
              <w:rPr>
                <w:rFonts w:ascii="宋体" w:hAnsi="宋体"/>
                <w:sz w:val="24"/>
              </w:rPr>
              <w:t>2.</w:t>
            </w:r>
            <w:r>
              <w:rPr>
                <w:rFonts w:hint="eastAsia" w:ascii="宋体" w:hAnsi="宋体"/>
                <w:sz w:val="24"/>
              </w:rPr>
              <w:t>基础报表具备实时图形化展示，报表项至少包括工单统计表、故障位置表、故障</w:t>
            </w:r>
            <w:r>
              <w:rPr>
                <w:rFonts w:hint="eastAsia" w:ascii="宋体" w:hAnsi="宋体"/>
                <w:sz w:val="24"/>
                <w:lang w:val="en-US" w:eastAsia="zh-CN"/>
              </w:rPr>
              <w:t>接单表，故障</w:t>
            </w:r>
            <w:r>
              <w:rPr>
                <w:rFonts w:hint="eastAsia" w:ascii="宋体" w:hAnsi="宋体"/>
                <w:sz w:val="24"/>
              </w:rPr>
              <w:t>解决时间分析、故障报修变化趋势、服务评价分析、派单成功率等。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7" w:type="pct"/>
            <w:noWrap w:val="0"/>
            <w:vAlign w:val="center"/>
          </w:tcPr>
          <w:p>
            <w:pPr>
              <w:spacing w:line="360" w:lineRule="auto"/>
              <w:jc w:val="center"/>
              <w:rPr>
                <w:rFonts w:ascii="宋体" w:hAnsi="宋体"/>
                <w:sz w:val="24"/>
              </w:rPr>
            </w:pPr>
            <w:r>
              <w:rPr>
                <w:rFonts w:hint="eastAsia" w:ascii="宋体" w:hAnsi="宋体"/>
                <w:sz w:val="24"/>
                <w:lang w:val="en-US" w:eastAsia="zh-CN"/>
              </w:rPr>
              <w:t>5</w:t>
            </w:r>
            <w:r>
              <w:rPr>
                <w:rFonts w:hint="eastAsia" w:ascii="宋体" w:hAnsi="宋体"/>
                <w:sz w:val="24"/>
              </w:rPr>
              <w:t>、备品备件管理</w:t>
            </w:r>
          </w:p>
        </w:tc>
        <w:tc>
          <w:tcPr>
            <w:tcW w:w="3982" w:type="pct"/>
            <w:noWrap w:val="0"/>
            <w:vAlign w:val="center"/>
          </w:tcPr>
          <w:p>
            <w:pPr>
              <w:spacing w:line="360" w:lineRule="auto"/>
              <w:jc w:val="left"/>
              <w:rPr>
                <w:rFonts w:ascii="宋体" w:hAnsi="宋体"/>
                <w:sz w:val="24"/>
              </w:rPr>
            </w:pPr>
            <w:r>
              <w:rPr>
                <w:rFonts w:hint="eastAsia" w:ascii="宋体" w:hAnsi="宋体"/>
                <w:sz w:val="24"/>
              </w:rPr>
              <w:t>备品备件管理功能模块至少包括备品参数设置、仓库配置、品类规格管理、库存管理、出入库流水、个人库查询、配件申领审批等功能。</w:t>
            </w:r>
          </w:p>
        </w:tc>
      </w:tr>
    </w:tbl>
    <w:p>
      <w:pPr>
        <w:spacing w:line="360" w:lineRule="auto"/>
        <w:rPr>
          <w:rFonts w:ascii="宋体" w:hAnsi="宋体"/>
          <w:b/>
          <w:sz w:val="24"/>
        </w:rPr>
      </w:pPr>
    </w:p>
    <w:p>
      <w:pPr>
        <w:keepNext/>
        <w:keepLines/>
        <w:numPr>
          <w:ilvl w:val="0"/>
          <w:numId w:val="0"/>
        </w:numPr>
        <w:tabs>
          <w:tab w:val="left" w:pos="0"/>
        </w:tabs>
        <w:adjustRightInd w:val="0"/>
        <w:spacing w:before="260" w:after="260" w:line="360" w:lineRule="auto"/>
        <w:ind w:leftChars="0"/>
        <w:jc w:val="left"/>
        <w:outlineLvl w:val="1"/>
        <w:rPr>
          <w:rFonts w:ascii="宋体" w:hAnsi="宋体"/>
          <w:b/>
          <w:bCs/>
          <w:sz w:val="24"/>
        </w:rPr>
      </w:pPr>
      <w:r>
        <w:rPr>
          <w:rFonts w:hint="eastAsia" w:ascii="宋体" w:hAnsi="宋体"/>
          <w:b/>
          <w:bCs/>
          <w:sz w:val="24"/>
          <w:lang w:val="en-US" w:eastAsia="zh-CN"/>
        </w:rPr>
        <w:t xml:space="preserve">7. </w:t>
      </w:r>
      <w:r>
        <w:rPr>
          <w:rFonts w:hint="eastAsia" w:ascii="宋体" w:hAnsi="宋体"/>
          <w:b/>
          <w:bCs/>
          <w:sz w:val="24"/>
        </w:rPr>
        <w:t>2</w:t>
      </w:r>
      <w:r>
        <w:rPr>
          <w:rFonts w:ascii="宋体" w:hAnsi="宋体"/>
          <w:b/>
          <w:bCs/>
          <w:sz w:val="24"/>
        </w:rPr>
        <w:t>4</w:t>
      </w:r>
      <w:r>
        <w:rPr>
          <w:rFonts w:hint="eastAsia" w:ascii="宋体" w:hAnsi="宋体"/>
          <w:b/>
          <w:bCs/>
          <w:sz w:val="24"/>
        </w:rPr>
        <w:t>小时应急支持服务</w:t>
      </w:r>
    </w:p>
    <w:p>
      <w:pPr>
        <w:spacing w:line="360" w:lineRule="auto"/>
        <w:ind w:left="426"/>
        <w:rPr>
          <w:rFonts w:ascii="宋体" w:hAnsi="宋体" w:cs="宋体"/>
          <w:sz w:val="24"/>
        </w:rPr>
      </w:pPr>
      <w:r>
        <w:rPr>
          <w:rFonts w:hint="eastAsia" w:ascii="宋体" w:hAnsi="宋体" w:cs="宋体"/>
          <w:sz w:val="24"/>
        </w:rPr>
        <w:t>为医院提供和保障7</w:t>
      </w:r>
      <w:r>
        <w:rPr>
          <w:rFonts w:ascii="宋体" w:hAnsi="宋体" w:cs="宋体"/>
          <w:sz w:val="24"/>
        </w:rPr>
        <w:t>*24</w:t>
      </w:r>
      <w:r>
        <w:rPr>
          <w:rFonts w:hint="eastAsia" w:ascii="宋体" w:hAnsi="宋体" w:cs="宋体"/>
          <w:sz w:val="24"/>
        </w:rPr>
        <w:t>小时现场服务的应急响应机制，需提供非正常工作日时间随时上门应急支持服务等。应急支持服务人员需具备医院运维服务经验，对医院情况较为熟悉。应急响应到场时间要求1小时以内。</w:t>
      </w:r>
    </w:p>
    <w:p>
      <w:pPr>
        <w:keepNext/>
        <w:keepLines/>
        <w:numPr>
          <w:ilvl w:val="0"/>
          <w:numId w:val="0"/>
        </w:numPr>
        <w:tabs>
          <w:tab w:val="left" w:pos="0"/>
        </w:tabs>
        <w:adjustRightInd w:val="0"/>
        <w:spacing w:before="260" w:after="260" w:line="360" w:lineRule="auto"/>
        <w:ind w:leftChars="0"/>
        <w:jc w:val="left"/>
        <w:outlineLvl w:val="1"/>
        <w:rPr>
          <w:rFonts w:ascii="宋体" w:hAnsi="宋体"/>
          <w:b/>
          <w:bCs/>
          <w:sz w:val="24"/>
        </w:rPr>
      </w:pPr>
      <w:r>
        <w:rPr>
          <w:rFonts w:hint="eastAsia" w:ascii="宋体" w:hAnsi="宋体"/>
          <w:b/>
          <w:bCs/>
          <w:sz w:val="24"/>
          <w:lang w:val="en-US" w:eastAsia="zh-CN"/>
        </w:rPr>
        <w:t>8.</w:t>
      </w:r>
      <w:r>
        <w:rPr>
          <w:rFonts w:ascii="宋体" w:hAnsi="宋体"/>
          <w:b/>
          <w:bCs/>
          <w:sz w:val="24"/>
        </w:rPr>
        <w:t>安全服务内容</w:t>
      </w:r>
    </w:p>
    <w:p>
      <w:pPr>
        <w:spacing w:line="360" w:lineRule="auto"/>
        <w:ind w:left="426"/>
        <w:rPr>
          <w:rFonts w:ascii="宋体" w:hAnsi="宋体" w:cs="宋体"/>
          <w:sz w:val="24"/>
        </w:rPr>
      </w:pPr>
      <w:r>
        <w:rPr>
          <w:rFonts w:hint="eastAsia" w:ascii="宋体" w:hAnsi="宋体" w:cs="宋体"/>
          <w:sz w:val="24"/>
        </w:rPr>
        <w:t>补丁升级：协助甲方针对安全设备设施、系统进行升级服务，包括操作系统补丁、应用软件补丁的升级、网络设备的软件系统升级；</w:t>
      </w:r>
    </w:p>
    <w:p>
      <w:pPr>
        <w:spacing w:line="360" w:lineRule="auto"/>
        <w:ind w:left="426"/>
        <w:rPr>
          <w:rFonts w:ascii="宋体" w:hAnsi="宋体" w:cs="宋体"/>
          <w:sz w:val="24"/>
        </w:rPr>
      </w:pPr>
      <w:r>
        <w:rPr>
          <w:rFonts w:hint="eastAsia" w:ascii="宋体" w:hAnsi="宋体" w:cs="宋体"/>
          <w:sz w:val="24"/>
        </w:rPr>
        <w:t>安全防范：指派专门人员对新出现的系统漏洞、黑客攻击手段进行追踪，及时做好防范。</w:t>
      </w:r>
    </w:p>
    <w:p>
      <w:pPr>
        <w:spacing w:line="360" w:lineRule="auto"/>
        <w:ind w:left="426"/>
        <w:rPr>
          <w:rFonts w:ascii="宋体" w:hAnsi="宋体" w:cs="宋体"/>
          <w:sz w:val="24"/>
        </w:rPr>
      </w:pPr>
      <w:r>
        <w:rPr>
          <w:rFonts w:hint="eastAsia" w:ascii="宋体" w:hAnsi="宋体" w:cs="宋体"/>
          <w:sz w:val="24"/>
        </w:rPr>
        <w:t>病毒防范：通过巡检确保用户的每个客户端防病毒软件的病毒库处于随时更新状态；</w:t>
      </w:r>
    </w:p>
    <w:p>
      <w:pPr>
        <w:spacing w:line="360" w:lineRule="auto"/>
        <w:ind w:left="426"/>
        <w:rPr>
          <w:rFonts w:ascii="宋体" w:hAnsi="宋体" w:cs="宋体"/>
          <w:sz w:val="24"/>
        </w:rPr>
      </w:pPr>
      <w:r>
        <w:rPr>
          <w:rFonts w:hint="eastAsia" w:ascii="宋体" w:hAnsi="宋体" w:cs="宋体"/>
          <w:sz w:val="24"/>
        </w:rPr>
        <w:t>数据备份：严格按照医院要求针对计算机维护过程中执行数据备份和恢复策略；</w:t>
      </w:r>
    </w:p>
    <w:p>
      <w:pPr>
        <w:spacing w:line="360" w:lineRule="auto"/>
        <w:ind w:left="426"/>
        <w:rPr>
          <w:rFonts w:ascii="宋体" w:hAnsi="宋体" w:cs="宋体"/>
          <w:sz w:val="24"/>
        </w:rPr>
      </w:pPr>
      <w:r>
        <w:rPr>
          <w:rFonts w:hint="eastAsia" w:ascii="宋体" w:hAnsi="宋体" w:cs="宋体"/>
          <w:sz w:val="24"/>
        </w:rPr>
        <w:t>网络安全：网络异常时，通过侦测并分析网络中传输的数据包，发现问题，弥补漏洞。</w:t>
      </w:r>
    </w:p>
    <w:p>
      <w:pPr>
        <w:keepNext/>
        <w:keepLines/>
        <w:numPr>
          <w:ilvl w:val="0"/>
          <w:numId w:val="0"/>
        </w:numPr>
        <w:tabs>
          <w:tab w:val="left" w:pos="0"/>
        </w:tabs>
        <w:adjustRightInd w:val="0"/>
        <w:spacing w:before="260" w:after="260" w:line="360" w:lineRule="auto"/>
        <w:ind w:left="210" w:leftChars="0"/>
        <w:jc w:val="left"/>
        <w:outlineLvl w:val="1"/>
        <w:rPr>
          <w:rFonts w:ascii="宋体" w:hAnsi="宋体"/>
          <w:b/>
          <w:bCs/>
          <w:sz w:val="24"/>
        </w:rPr>
      </w:pPr>
      <w:r>
        <w:rPr>
          <w:rFonts w:hint="eastAsia" w:ascii="宋体" w:hAnsi="宋体"/>
          <w:b/>
          <w:bCs/>
          <w:sz w:val="24"/>
          <w:lang w:val="en-US" w:eastAsia="zh-CN"/>
        </w:rPr>
        <w:t>9.</w:t>
      </w:r>
      <w:r>
        <w:rPr>
          <w:rFonts w:hint="eastAsia" w:ascii="宋体" w:hAnsi="宋体"/>
          <w:b/>
          <w:bCs/>
          <w:sz w:val="24"/>
        </w:rPr>
        <w:t>保密和安全责任</w:t>
      </w:r>
    </w:p>
    <w:p>
      <w:pPr>
        <w:spacing w:line="360" w:lineRule="auto"/>
        <w:ind w:firstLine="480" w:firstLineChars="200"/>
        <w:rPr>
          <w:rFonts w:ascii="宋体" w:hAnsi="宋体" w:cs="宋体"/>
          <w:sz w:val="24"/>
        </w:rPr>
      </w:pPr>
      <w:r>
        <w:rPr>
          <w:rFonts w:hint="eastAsia" w:ascii="宋体" w:hAnsi="宋体" w:cs="宋体"/>
          <w:sz w:val="24"/>
        </w:rPr>
        <w:t>1）服务商须与医院签订信息安全保密协议，要求服务商在服务过程中从招标方获知的技术秘密、商业秘密、采购人信息等一切信息均负有保密责任。未经医院事先书面授权，服务商不得以任何方式向其它任何组织或个人泄露、转让、交换、赠与该信息或与任何其他组织或个人共同使用该信息。因为服务商违反规定造成信息泄漏给医院造成损失的，医院有权中止合同，不再支付后续款项。且医院有权追究投标方的法律责任。</w:t>
      </w:r>
    </w:p>
    <w:p>
      <w:pPr>
        <w:spacing w:line="360" w:lineRule="auto"/>
        <w:ind w:firstLine="480" w:firstLineChars="200"/>
        <w:rPr>
          <w:rFonts w:ascii="宋体" w:hAnsi="宋体" w:cs="宋体"/>
          <w:sz w:val="24"/>
        </w:rPr>
      </w:pPr>
      <w:r>
        <w:rPr>
          <w:rFonts w:hint="eastAsia" w:ascii="宋体" w:hAnsi="宋体" w:cs="宋体"/>
          <w:sz w:val="24"/>
        </w:rPr>
        <w:t>2）服务商必须要求所有驻场人员严格按照医院现场管理要求和工作纪律行事，对于驻场人员因工作原因在招标方引起的各种工伤、安全事件和事故，医院免于一切责任。</w:t>
      </w:r>
    </w:p>
    <w:p>
      <w:pPr>
        <w:spacing w:line="360" w:lineRule="auto"/>
        <w:ind w:left="426"/>
        <w:rPr>
          <w:rFonts w:ascii="宋体" w:hAnsi="宋体" w:cs="宋体"/>
          <w:sz w:val="24"/>
        </w:rPr>
      </w:pPr>
    </w:p>
    <w:p>
      <w:pPr>
        <w:spacing w:line="360" w:lineRule="auto"/>
        <w:outlineLvl w:val="0"/>
        <w:rPr>
          <w:rFonts w:ascii="宋体" w:hAnsi="宋体"/>
          <w:b/>
          <w:color w:val="000000"/>
          <w:kern w:val="0"/>
          <w:sz w:val="24"/>
        </w:rPr>
      </w:pPr>
      <w:r>
        <w:rPr>
          <w:rFonts w:hint="eastAsia" w:ascii="宋体" w:hAnsi="宋体"/>
          <w:b/>
          <w:color w:val="000000"/>
          <w:kern w:val="0"/>
          <w:sz w:val="24"/>
        </w:rPr>
        <w:t>项目实施与验收</w:t>
      </w:r>
    </w:p>
    <w:p>
      <w:pPr>
        <w:keepNext/>
        <w:keepLines/>
        <w:numPr>
          <w:ilvl w:val="0"/>
          <w:numId w:val="0"/>
        </w:numPr>
        <w:tabs>
          <w:tab w:val="left" w:pos="0"/>
        </w:tabs>
        <w:adjustRightInd w:val="0"/>
        <w:spacing w:before="260" w:after="260" w:line="360" w:lineRule="auto"/>
        <w:ind w:leftChars="0"/>
        <w:jc w:val="left"/>
        <w:outlineLvl w:val="1"/>
        <w:rPr>
          <w:rFonts w:ascii="宋体" w:hAnsi="宋体"/>
          <w:b/>
          <w:bCs/>
          <w:sz w:val="24"/>
        </w:rPr>
      </w:pPr>
      <w:r>
        <w:rPr>
          <w:rFonts w:hint="eastAsia" w:ascii="宋体" w:hAnsi="宋体"/>
          <w:b/>
          <w:bCs/>
          <w:sz w:val="24"/>
        </w:rPr>
        <w:t>考核办法</w:t>
      </w:r>
    </w:p>
    <w:p>
      <w:pPr>
        <w:spacing w:line="360" w:lineRule="auto"/>
        <w:ind w:firstLine="480" w:firstLineChars="200"/>
        <w:rPr>
          <w:rFonts w:ascii="宋体" w:hAnsi="宋体" w:cs="宋体"/>
          <w:sz w:val="24"/>
        </w:rPr>
      </w:pPr>
      <w:r>
        <w:rPr>
          <w:rFonts w:hint="eastAsia" w:ascii="宋体" w:hAnsi="宋体" w:cs="宋体"/>
          <w:sz w:val="24"/>
        </w:rPr>
        <w:t>在项目实施过程中，服务方须严格参照第三项服务要求进行服务推进；为了能够保证服务得到有效监督，从而进一步保证服务质量，医院会通过不定期的现场检查和定期的报表统计，对服务方的服务进行跟踪和考核，并设立处罚机制，具体如下：</w:t>
      </w:r>
    </w:p>
    <w:p>
      <w:pPr>
        <w:spacing w:line="360" w:lineRule="auto"/>
        <w:ind w:firstLine="480" w:firstLineChars="200"/>
        <w:rPr>
          <w:rFonts w:ascii="宋体" w:hAnsi="宋体" w:cs="宋体"/>
          <w:sz w:val="24"/>
        </w:rPr>
      </w:pPr>
      <w:r>
        <w:rPr>
          <w:rFonts w:hint="eastAsia" w:ascii="宋体" w:hAnsi="宋体" w:cs="宋体"/>
          <w:sz w:val="24"/>
        </w:rPr>
        <w:t>1）医院对服务方实行百分制考核，每半年进行一次，评分结果作为衡量服务质量的依据。 考核等级分为非常满意、满意、一般、不满意四档，对应的分数为‘95-100分’‘80-94分’、‘60-79分’、‘60分以下’。如考核为‘非常满意’或‘满意’，不扣质量保证金或服务费；如考核为‘一般’，可扣除合同款的0.5%，如考核为‘不满意’的，招标方有权提前终止外包服务合同，并不支付费用，没收履约保证金，由此产生的一切损失和费用由中标方承担</w:t>
      </w:r>
      <w:r>
        <w:rPr>
          <w:rFonts w:hint="eastAsia" w:ascii="宋体" w:hAnsi="宋体" w:cs="宋体"/>
          <w:kern w:val="0"/>
          <w:sz w:val="24"/>
        </w:rPr>
        <w:t>。同时服务满意度也是作为本服务是否在第二年延续的关键指标。</w:t>
      </w:r>
    </w:p>
    <w:p>
      <w:pPr>
        <w:spacing w:line="360" w:lineRule="auto"/>
        <w:ind w:firstLine="480" w:firstLineChars="200"/>
        <w:rPr>
          <w:rFonts w:ascii="宋体" w:hAnsi="宋体" w:cs="宋体"/>
          <w:sz w:val="24"/>
        </w:rPr>
      </w:pPr>
      <w:r>
        <w:rPr>
          <w:rFonts w:hint="eastAsia" w:ascii="宋体" w:hAnsi="宋体" w:cs="宋体"/>
          <w:sz w:val="24"/>
        </w:rPr>
        <w:t>2）服务方须每月按时提交有关人员考勤、故障数据分析、服务质量等内容维护工作报表，每三个月提交一份工作季度报表。</w:t>
      </w:r>
    </w:p>
    <w:p>
      <w:pPr>
        <w:spacing w:line="360" w:lineRule="auto"/>
        <w:ind w:firstLine="480" w:firstLineChars="200"/>
        <w:rPr>
          <w:rFonts w:ascii="宋体" w:hAnsi="宋体" w:cs="宋体"/>
          <w:sz w:val="24"/>
        </w:rPr>
      </w:pPr>
      <w:r>
        <w:rPr>
          <w:rFonts w:hint="eastAsia" w:ascii="宋体" w:hAnsi="宋体" w:cs="宋体"/>
          <w:sz w:val="24"/>
        </w:rPr>
        <w:t>3）服务方必须按医院要求配备驻场人数。医院将不定期对驻场服务人员的配置和出勤情况进行现场检查，如发现在本项目实施过程中有未经同意私自减少或更换人员，发现减少或更换1人则扣罚当季度服务费0.1%。</w:t>
      </w:r>
    </w:p>
    <w:p>
      <w:pPr>
        <w:spacing w:line="360" w:lineRule="auto"/>
        <w:ind w:firstLine="480" w:firstLineChars="200"/>
        <w:rPr>
          <w:rFonts w:ascii="宋体" w:hAnsi="宋体" w:cs="宋体"/>
          <w:sz w:val="24"/>
        </w:rPr>
      </w:pPr>
      <w:r>
        <w:rPr>
          <w:rFonts w:hint="eastAsia" w:ascii="宋体" w:hAnsi="宋体" w:cs="宋体"/>
          <w:sz w:val="24"/>
        </w:rPr>
        <w:t>4）驻点人员服务投诉率不高于0.2%（放入考核评价表中）；信息中心每月对</w:t>
      </w:r>
      <w:r>
        <w:rPr>
          <w:rFonts w:ascii="宋体" w:hAnsi="宋体" w:cs="宋体"/>
          <w:sz w:val="24"/>
        </w:rPr>
        <w:t>5</w:t>
      </w:r>
      <w:r>
        <w:rPr>
          <w:rFonts w:hint="eastAsia" w:ascii="宋体" w:hAnsi="宋体" w:cs="宋体"/>
          <w:sz w:val="24"/>
        </w:rPr>
        <w:t>名驻点人员服务进行考核评价（0-100分），低于80分每下降一个百分点罚月支付总额的1%，以此类推。</w:t>
      </w:r>
    </w:p>
    <w:p>
      <w:pPr>
        <w:spacing w:line="360" w:lineRule="auto"/>
        <w:ind w:firstLine="480" w:firstLineChars="200"/>
        <w:rPr>
          <w:rFonts w:ascii="宋体" w:hAnsi="宋体" w:cs="宋体"/>
          <w:sz w:val="24"/>
        </w:rPr>
      </w:pPr>
      <w:r>
        <w:rPr>
          <w:rFonts w:hint="eastAsia" w:ascii="宋体" w:hAnsi="宋体" w:cs="宋体"/>
          <w:sz w:val="24"/>
        </w:rPr>
        <w:t>5）若因服务方人员操作失误造成系统瘫痪超过一个工作日的，医院有权一次扣除合同金额的3%。对蓄意破坏信息系统设施或泄密的，一经查证，医院有权即时终止合同，涉案人员依法处理。</w:t>
      </w:r>
    </w:p>
    <w:p>
      <w:pPr>
        <w:spacing w:line="360" w:lineRule="auto"/>
        <w:ind w:firstLine="480" w:firstLineChars="200"/>
        <w:rPr>
          <w:rFonts w:hint="eastAsia" w:ascii="宋体" w:hAnsi="宋体" w:cs="宋体"/>
          <w:sz w:val="24"/>
        </w:rPr>
      </w:pPr>
      <w:r>
        <w:rPr>
          <w:rFonts w:hint="eastAsia" w:ascii="宋体" w:hAnsi="宋体" w:cs="宋体"/>
          <w:sz w:val="24"/>
        </w:rPr>
        <w:t>6）因以上原因而发生的所有扣罚款项，经双方项目负责人签字确认，交由医院财务部在当季度服务款中扣除。</w:t>
      </w:r>
    </w:p>
    <w:p>
      <w:pPr>
        <w:pStyle w:val="2"/>
        <w:rPr>
          <w:rFonts w:hint="default" w:eastAsia="宋体"/>
          <w:lang w:val="en-US" w:eastAsia="zh-CN"/>
        </w:rPr>
      </w:pPr>
      <w:r>
        <w:rPr>
          <w:rFonts w:hint="eastAsia" w:ascii="宋体" w:hAnsi="宋体" w:cs="宋体"/>
          <w:sz w:val="24"/>
          <w:lang w:val="en-US" w:eastAsia="zh-CN"/>
        </w:rPr>
        <w:t xml:space="preserve">    7</w:t>
      </w:r>
      <w:r>
        <w:rPr>
          <w:rFonts w:hint="eastAsia" w:ascii="宋体" w:hAnsi="宋体" w:cs="宋体"/>
          <w:sz w:val="24"/>
        </w:rPr>
        <w:t>）</w:t>
      </w:r>
      <w:r>
        <w:rPr>
          <w:rFonts w:hint="eastAsia" w:ascii="宋体" w:hAnsi="宋体" w:cs="宋体"/>
          <w:sz w:val="24"/>
          <w:lang w:val="en-US" w:eastAsia="zh-CN"/>
        </w:rPr>
        <w:t>设备完好率不低于95%（设备故障天数/总设备数*365天），</w:t>
      </w:r>
      <w:r>
        <w:rPr>
          <w:rFonts w:hint="eastAsia" w:ascii="宋体" w:hAnsi="宋体" w:cs="宋体"/>
          <w:sz w:val="24"/>
        </w:rPr>
        <w:t>每下降一个百分点罚月支付总额的1%，以此类推。</w:t>
      </w:r>
    </w:p>
    <w:p>
      <w:pPr>
        <w:keepNext/>
        <w:keepLines/>
        <w:numPr>
          <w:ilvl w:val="0"/>
          <w:numId w:val="0"/>
        </w:numPr>
        <w:tabs>
          <w:tab w:val="left" w:pos="0"/>
        </w:tabs>
        <w:adjustRightInd w:val="0"/>
        <w:spacing w:before="260" w:after="260" w:line="360" w:lineRule="auto"/>
        <w:ind w:leftChars="0"/>
        <w:jc w:val="left"/>
        <w:outlineLvl w:val="1"/>
        <w:rPr>
          <w:rFonts w:ascii="宋体" w:hAnsi="宋体"/>
          <w:b/>
          <w:bCs/>
          <w:sz w:val="24"/>
        </w:rPr>
      </w:pPr>
      <w:r>
        <w:rPr>
          <w:rFonts w:hint="eastAsia" w:ascii="宋体" w:hAnsi="宋体"/>
          <w:b/>
          <w:bCs/>
          <w:sz w:val="24"/>
        </w:rPr>
        <w:t>商务条款</w:t>
      </w:r>
    </w:p>
    <w:p>
      <w:pPr>
        <w:spacing w:line="360" w:lineRule="auto"/>
        <w:ind w:firstLine="240" w:firstLineChars="100"/>
        <w:rPr>
          <w:rFonts w:ascii="宋体" w:hAnsi="宋体" w:cs="宋体"/>
          <w:sz w:val="24"/>
        </w:rPr>
      </w:pPr>
      <w:r>
        <w:rPr>
          <w:rFonts w:hint="eastAsia" w:ascii="宋体" w:hAnsi="宋体" w:cs="宋体"/>
          <w:sz w:val="24"/>
        </w:rPr>
        <w:t>1）本项目不允许转包。</w:t>
      </w:r>
    </w:p>
    <w:p>
      <w:pPr>
        <w:spacing w:line="360" w:lineRule="auto"/>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w:t>
      </w:r>
      <w:r>
        <w:rPr>
          <w:rFonts w:hint="eastAsia" w:ascii="宋体" w:hAnsi="宋体" w:cs="宋体"/>
          <w:sz w:val="24"/>
          <w:lang w:val="en-US" w:eastAsia="zh-CN"/>
        </w:rPr>
        <w:t>五</w:t>
      </w:r>
      <w:r>
        <w:rPr>
          <w:rFonts w:hint="eastAsia" w:ascii="宋体" w:hAnsi="宋体" w:cs="宋体"/>
          <w:sz w:val="24"/>
        </w:rPr>
        <w:t>名驻点人员或运维平台至中标之日起</w:t>
      </w:r>
      <w:r>
        <w:rPr>
          <w:rFonts w:ascii="宋体" w:hAnsi="宋体" w:cs="宋体"/>
          <w:sz w:val="24"/>
        </w:rPr>
        <w:t>7</w:t>
      </w:r>
      <w:r>
        <w:rPr>
          <w:rFonts w:hint="eastAsia" w:ascii="宋体" w:hAnsi="宋体" w:cs="宋体"/>
          <w:sz w:val="24"/>
        </w:rPr>
        <w:t>个工作日必须交付到位并由医院进行考核，不能交付或考核不通过的取消中标资格，所有增派人员医院不另外支付任何费用。</w:t>
      </w:r>
    </w:p>
    <w:p>
      <w:pPr>
        <w:spacing w:line="360" w:lineRule="auto"/>
      </w:pPr>
      <w:r>
        <w:rPr>
          <w:rFonts w:hint="eastAsia" w:ascii="宋体" w:hAnsi="宋体" w:cs="宋体"/>
          <w:sz w:val="24"/>
        </w:rPr>
        <w:t>▲</w:t>
      </w:r>
      <w:r>
        <w:rPr>
          <w:rFonts w:ascii="宋体" w:hAnsi="宋体" w:cs="宋体"/>
          <w:sz w:val="24"/>
        </w:rPr>
        <w:t>3</w:t>
      </w:r>
      <w:r>
        <w:rPr>
          <w:rFonts w:hint="eastAsia" w:ascii="宋体" w:hAnsi="宋体" w:cs="宋体"/>
          <w:sz w:val="24"/>
        </w:rPr>
        <w:t>）合同履行第一个月为考核期，如考核不通过则取消中标资格，相关损失由中标人自行承担，详细参考考核条款。</w:t>
      </w:r>
    </w:p>
    <w:p>
      <w:pPr>
        <w:spacing w:line="360" w:lineRule="auto"/>
        <w:rPr>
          <w:rFonts w:ascii="宋体" w:hAnsi="宋体" w:cs="宋体"/>
          <w:sz w:val="24"/>
        </w:rPr>
      </w:pPr>
      <w:r>
        <w:rPr>
          <w:rFonts w:hint="eastAsia" w:ascii="宋体" w:hAnsi="宋体" w:cs="宋体"/>
          <w:sz w:val="24"/>
        </w:rPr>
        <w:t>4）付款方式</w:t>
      </w:r>
    </w:p>
    <w:p>
      <w:pPr>
        <w:spacing w:line="360" w:lineRule="auto"/>
        <w:ind w:firstLine="480" w:firstLineChars="200"/>
        <w:rPr>
          <w:rFonts w:ascii="宋体" w:hAnsi="宋体" w:cs="宋体"/>
          <w:sz w:val="24"/>
        </w:rPr>
      </w:pPr>
      <w:r>
        <w:rPr>
          <w:rFonts w:hint="eastAsia" w:ascii="宋体" w:hAnsi="宋体" w:cs="宋体"/>
          <w:sz w:val="24"/>
        </w:rPr>
        <w:t>4.1）本项目预算总价，含一切税、费。本项目中标价格包括中标人为服务本项目所需的设备仪器费、车辆租赁费、服务和技术费用等。如发生本合同规定的不可抗力，合同总价可经双方友好协商予以调整。</w:t>
      </w:r>
    </w:p>
    <w:p>
      <w:pPr>
        <w:rPr>
          <w:rFonts w:hint="eastAsia" w:ascii="宋体" w:hAnsi="宋体" w:cs="宋体"/>
          <w:sz w:val="24"/>
        </w:rPr>
      </w:pPr>
      <w:r>
        <w:rPr>
          <w:rFonts w:hint="eastAsia" w:ascii="宋体" w:hAnsi="宋体" w:cs="宋体"/>
          <w:sz w:val="24"/>
        </w:rPr>
        <w:t>4.</w:t>
      </w:r>
      <w:r>
        <w:rPr>
          <w:rFonts w:ascii="宋体" w:hAnsi="宋体" w:cs="宋体"/>
          <w:sz w:val="24"/>
        </w:rPr>
        <w:t>2</w:t>
      </w:r>
      <w:r>
        <w:rPr>
          <w:rFonts w:hint="eastAsia" w:ascii="宋体" w:hAnsi="宋体" w:cs="宋体"/>
          <w:sz w:val="24"/>
        </w:rPr>
        <w:t>）、本项目合同款项按季度结算支付，甲方收到乙方供货发票后三个月内支付费用。</w:t>
      </w:r>
    </w:p>
    <w:p>
      <w:pPr>
        <w:pStyle w:val="4"/>
        <w:rPr>
          <w:rFonts w:hint="default" w:eastAsia="黑体"/>
          <w:lang w:val="en-US" w:eastAsia="zh-CN"/>
        </w:rPr>
      </w:pPr>
      <w:r>
        <w:rPr>
          <w:rFonts w:hint="eastAsia" w:ascii="宋体" w:hAnsi="宋体" w:cs="宋体"/>
          <w:sz w:val="24"/>
          <w:lang w:val="en-US" w:eastAsia="zh-CN"/>
        </w:rPr>
        <w:t>5）本项目合同期为一年，第一年考核通过，双方协商同意可续签一年。</w:t>
      </w:r>
    </w:p>
    <w:p>
      <w:pPr>
        <w:keepNext/>
        <w:keepLines/>
        <w:spacing w:before="260" w:after="260" w:line="416" w:lineRule="auto"/>
        <w:outlineLvl w:val="1"/>
        <w:rPr>
          <w:rFonts w:ascii="Arial" w:hAnsi="Arial" w:eastAsia="黑体"/>
          <w:b/>
          <w:bCs/>
          <w:sz w:val="24"/>
        </w:rPr>
      </w:pPr>
      <w:r>
        <w:rPr>
          <w:rFonts w:hint="eastAsia" w:ascii="Arial" w:hAnsi="Arial" w:eastAsia="黑体"/>
          <w:b/>
          <w:bCs/>
          <w:sz w:val="24"/>
        </w:rPr>
        <w:t>附件</w:t>
      </w:r>
      <w:r>
        <w:rPr>
          <w:rFonts w:ascii="Arial" w:hAnsi="Arial" w:eastAsia="黑体"/>
          <w:b/>
          <w:bCs/>
          <w:sz w:val="24"/>
        </w:rPr>
        <w:t>1</w:t>
      </w:r>
      <w:r>
        <w:rPr>
          <w:rFonts w:hint="eastAsia" w:ascii="Arial" w:hAnsi="Arial" w:eastAsia="黑体"/>
          <w:b/>
          <w:bCs/>
          <w:sz w:val="24"/>
        </w:rPr>
        <w:t>：服务质量考核表</w:t>
      </w:r>
    </w:p>
    <w:tbl>
      <w:tblPr>
        <w:tblStyle w:val="5"/>
        <w:tblW w:w="92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1139"/>
        <w:gridCol w:w="1282"/>
        <w:gridCol w:w="3859"/>
        <w:gridCol w:w="1412"/>
        <w:gridCol w:w="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序号</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大类</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小类</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考核标准</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考核部门</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
                <w:kern w:val="0"/>
                <w:sz w:val="24"/>
              </w:rPr>
              <w:t>1</w:t>
            </w:r>
          </w:p>
        </w:tc>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技术/</w:t>
            </w:r>
          </w:p>
          <w:p>
            <w:pPr>
              <w:adjustRightInd w:val="0"/>
              <w:snapToGrid w:val="0"/>
              <w:spacing w:line="360" w:lineRule="auto"/>
              <w:rPr>
                <w:rFonts w:ascii="宋体" w:hAnsi="宋体" w:cs="宋体"/>
                <w:bCs/>
                <w:kern w:val="0"/>
                <w:sz w:val="24"/>
              </w:rPr>
            </w:pPr>
            <w:r>
              <w:rPr>
                <w:rFonts w:hint="eastAsia" w:ascii="宋体" w:hAnsi="宋体" w:cs="宋体"/>
                <w:bCs/>
                <w:kern w:val="0"/>
                <w:sz w:val="24"/>
              </w:rPr>
              <w:t>服务类</w:t>
            </w:r>
          </w:p>
          <w:p>
            <w:pPr>
              <w:adjustRightInd w:val="0"/>
              <w:snapToGrid w:val="0"/>
              <w:spacing w:line="360" w:lineRule="auto"/>
              <w:rPr>
                <w:rFonts w:ascii="宋体" w:hAnsi="宋体" w:cs="宋体"/>
                <w:bCs/>
                <w:kern w:val="0"/>
                <w:sz w:val="24"/>
              </w:rPr>
            </w:pPr>
            <w:r>
              <w:rPr>
                <w:rFonts w:hint="eastAsia" w:ascii="宋体" w:hAnsi="宋体" w:cs="宋体"/>
                <w:bCs/>
                <w:kern w:val="0"/>
                <w:sz w:val="24"/>
              </w:rPr>
              <w:t>（50分）</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响应时效性（10分）</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平台记录，抽查核实，10分钟内响应，30分钟内到达现场/远程处理。</w:t>
            </w:r>
          </w:p>
          <w:p>
            <w:pPr>
              <w:adjustRightInd w:val="0"/>
              <w:snapToGrid w:val="0"/>
              <w:spacing w:line="360" w:lineRule="auto"/>
              <w:rPr>
                <w:rFonts w:ascii="宋体" w:hAnsi="宋体" w:cs="宋体"/>
                <w:b/>
                <w:kern w:val="0"/>
                <w:sz w:val="24"/>
              </w:rPr>
            </w:pPr>
            <w:r>
              <w:rPr>
                <w:rFonts w:hint="eastAsia" w:ascii="宋体" w:hAnsi="宋体" w:cs="宋体"/>
                <w:bCs/>
                <w:kern w:val="0"/>
                <w:sz w:val="24"/>
              </w:rPr>
              <w:t>每超时一例扣2分，最高扣10分</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各科室</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
                <w:kern w:val="0"/>
                <w:sz w:val="24"/>
              </w:rPr>
              <w:t>2</w:t>
            </w:r>
          </w:p>
        </w:tc>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Cs/>
                <w:kern w:val="0"/>
                <w:sz w:val="24"/>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Cs/>
                <w:kern w:val="0"/>
                <w:sz w:val="24"/>
              </w:rPr>
              <w:t>处理时效性（20分）</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平台记录，30分钟内修复/60分钟内完成备机安装。</w:t>
            </w:r>
          </w:p>
          <w:p>
            <w:pPr>
              <w:adjustRightInd w:val="0"/>
              <w:snapToGrid w:val="0"/>
              <w:spacing w:line="360" w:lineRule="auto"/>
              <w:rPr>
                <w:rFonts w:ascii="宋体" w:hAnsi="宋体" w:cs="宋体"/>
                <w:b/>
                <w:kern w:val="0"/>
                <w:sz w:val="24"/>
              </w:rPr>
            </w:pPr>
            <w:r>
              <w:rPr>
                <w:rFonts w:hint="eastAsia" w:ascii="宋体" w:hAnsi="宋体" w:cs="宋体"/>
                <w:bCs/>
                <w:kern w:val="0"/>
                <w:sz w:val="24"/>
              </w:rPr>
              <w:t>每超时一例扣2分，最高扣20分</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各科室</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
                <w:kern w:val="0"/>
                <w:sz w:val="24"/>
              </w:rPr>
              <w:t>3</w:t>
            </w:r>
          </w:p>
        </w:tc>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Cs/>
                <w:kern w:val="0"/>
                <w:sz w:val="24"/>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服务技能熟练度（10分）</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平台记录，抽查核实，根据故障处理有效性，二次复发故障发生量评估。</w:t>
            </w:r>
          </w:p>
          <w:p>
            <w:pPr>
              <w:adjustRightInd w:val="0"/>
              <w:snapToGrid w:val="0"/>
              <w:spacing w:line="360" w:lineRule="auto"/>
              <w:rPr>
                <w:rFonts w:ascii="宋体" w:hAnsi="宋体" w:cs="宋体"/>
                <w:bCs/>
                <w:kern w:val="0"/>
                <w:sz w:val="24"/>
              </w:rPr>
            </w:pPr>
            <w:r>
              <w:rPr>
                <w:rFonts w:hint="eastAsia" w:ascii="宋体" w:hAnsi="宋体" w:cs="宋体"/>
                <w:bCs/>
                <w:kern w:val="0"/>
                <w:sz w:val="24"/>
              </w:rPr>
              <w:t>每发生一例扣2分，最高扣10分</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各科室</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
                <w:kern w:val="0"/>
                <w:sz w:val="24"/>
              </w:rPr>
              <w:t>4</w:t>
            </w:r>
          </w:p>
        </w:tc>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Cs/>
                <w:kern w:val="0"/>
                <w:sz w:val="24"/>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服务态度</w:t>
            </w:r>
          </w:p>
          <w:p>
            <w:pPr>
              <w:adjustRightInd w:val="0"/>
              <w:snapToGrid w:val="0"/>
              <w:spacing w:line="360" w:lineRule="auto"/>
              <w:rPr>
                <w:rFonts w:ascii="宋体" w:hAnsi="宋体" w:cs="宋体"/>
                <w:bCs/>
                <w:kern w:val="0"/>
                <w:sz w:val="24"/>
              </w:rPr>
            </w:pPr>
            <w:r>
              <w:rPr>
                <w:rFonts w:hint="eastAsia" w:ascii="宋体" w:hAnsi="宋体" w:cs="宋体"/>
                <w:bCs/>
                <w:kern w:val="0"/>
                <w:sz w:val="24"/>
              </w:rPr>
              <w:t>（10分）</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平台记录，抽查核实，结合调查问卷。差评占比×10为扣分值</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各科室</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
                <w:kern w:val="0"/>
                <w:sz w:val="24"/>
              </w:rPr>
              <w:t>5</w:t>
            </w:r>
          </w:p>
        </w:tc>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考勤/</w:t>
            </w:r>
          </w:p>
          <w:p>
            <w:pPr>
              <w:adjustRightInd w:val="0"/>
              <w:snapToGrid w:val="0"/>
              <w:spacing w:line="360" w:lineRule="auto"/>
              <w:rPr>
                <w:rFonts w:ascii="宋体" w:hAnsi="宋体" w:cs="宋体"/>
                <w:bCs/>
                <w:kern w:val="0"/>
                <w:sz w:val="24"/>
              </w:rPr>
            </w:pPr>
            <w:r>
              <w:rPr>
                <w:rFonts w:hint="eastAsia" w:ascii="宋体" w:hAnsi="宋体" w:cs="宋体"/>
                <w:bCs/>
                <w:kern w:val="0"/>
                <w:sz w:val="24"/>
              </w:rPr>
              <w:t>管理类</w:t>
            </w:r>
          </w:p>
          <w:p>
            <w:pPr>
              <w:adjustRightInd w:val="0"/>
              <w:snapToGrid w:val="0"/>
              <w:spacing w:line="360" w:lineRule="auto"/>
              <w:rPr>
                <w:rFonts w:ascii="宋体" w:hAnsi="宋体" w:cs="宋体"/>
                <w:bCs/>
                <w:kern w:val="0"/>
                <w:sz w:val="24"/>
              </w:rPr>
            </w:pPr>
            <w:r>
              <w:rPr>
                <w:rFonts w:hint="eastAsia" w:ascii="宋体" w:hAnsi="宋体" w:cs="宋体"/>
                <w:bCs/>
                <w:kern w:val="0"/>
                <w:sz w:val="24"/>
              </w:rPr>
              <w:t>（50分）</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每月出勤率（1</w:t>
            </w:r>
            <w:r>
              <w:rPr>
                <w:rFonts w:ascii="宋体" w:hAnsi="宋体" w:cs="宋体"/>
                <w:bCs/>
                <w:kern w:val="0"/>
                <w:sz w:val="24"/>
              </w:rPr>
              <w:t>5</w:t>
            </w:r>
            <w:r>
              <w:rPr>
                <w:rFonts w:hint="eastAsia" w:ascii="宋体" w:hAnsi="宋体" w:cs="宋体"/>
                <w:bCs/>
                <w:kern w:val="0"/>
                <w:sz w:val="24"/>
              </w:rPr>
              <w:t>分）</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每月按照医院的作息时间出勤</w:t>
            </w:r>
          </w:p>
          <w:p>
            <w:pPr>
              <w:adjustRightInd w:val="0"/>
              <w:snapToGrid w:val="0"/>
              <w:spacing w:line="360" w:lineRule="auto"/>
              <w:rPr>
                <w:rFonts w:ascii="宋体" w:hAnsi="宋体" w:cs="宋体"/>
                <w:bCs/>
                <w:kern w:val="0"/>
                <w:sz w:val="24"/>
              </w:rPr>
            </w:pPr>
            <w:r>
              <w:rPr>
                <w:rFonts w:hint="eastAsia" w:ascii="宋体" w:hAnsi="宋体" w:cs="宋体"/>
                <w:bCs/>
                <w:kern w:val="0"/>
                <w:sz w:val="24"/>
              </w:rPr>
              <w:t>迟到、早退1分/次，最高扣10分</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信息中心</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
                <w:kern w:val="0"/>
                <w:sz w:val="24"/>
              </w:rPr>
              <w:t>6</w:t>
            </w:r>
          </w:p>
        </w:tc>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Cs/>
                <w:kern w:val="0"/>
                <w:sz w:val="24"/>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服务单填写（1</w:t>
            </w:r>
            <w:r>
              <w:rPr>
                <w:rFonts w:ascii="宋体" w:hAnsi="宋体" w:cs="宋体"/>
                <w:bCs/>
                <w:kern w:val="0"/>
                <w:sz w:val="24"/>
              </w:rPr>
              <w:t>5</w:t>
            </w:r>
            <w:r>
              <w:rPr>
                <w:rFonts w:hint="eastAsia" w:ascii="宋体" w:hAnsi="宋体" w:cs="宋体"/>
                <w:bCs/>
                <w:kern w:val="0"/>
                <w:sz w:val="24"/>
              </w:rPr>
              <w:t>分）</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技术服务填写的准确性、完整性，每例不合格的扣1分，最高扣10分</w:t>
            </w:r>
          </w:p>
        </w:tc>
        <w:tc>
          <w:tcPr>
            <w:tcW w:w="141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cs="宋体"/>
                <w:bCs/>
                <w:kern w:val="0"/>
                <w:sz w:val="24"/>
              </w:rPr>
              <w:t>信息中心</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
                <w:kern w:val="0"/>
                <w:sz w:val="24"/>
              </w:rPr>
              <w:t>7</w:t>
            </w:r>
          </w:p>
        </w:tc>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Cs/>
                <w:kern w:val="0"/>
                <w:sz w:val="24"/>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月度统计报/表（10分）</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月度报表汇总情况，及时性、准确性。</w:t>
            </w:r>
          </w:p>
          <w:p>
            <w:pPr>
              <w:adjustRightInd w:val="0"/>
              <w:snapToGrid w:val="0"/>
              <w:spacing w:line="360" w:lineRule="auto"/>
              <w:rPr>
                <w:rFonts w:ascii="宋体" w:hAnsi="宋体" w:cs="宋体"/>
                <w:bCs/>
                <w:kern w:val="0"/>
                <w:sz w:val="24"/>
              </w:rPr>
            </w:pPr>
            <w:r>
              <w:rPr>
                <w:rFonts w:hint="eastAsia" w:ascii="宋体" w:hAnsi="宋体" w:cs="宋体"/>
                <w:bCs/>
                <w:kern w:val="0"/>
                <w:sz w:val="24"/>
              </w:rPr>
              <w:t>差1-2分，一般3-4分、良5-8分、优秀9-10分</w:t>
            </w:r>
          </w:p>
        </w:tc>
        <w:tc>
          <w:tcPr>
            <w:tcW w:w="141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cs="宋体"/>
                <w:bCs/>
                <w:kern w:val="0"/>
                <w:sz w:val="24"/>
              </w:rPr>
              <w:t>信息中心</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
                <w:kern w:val="0"/>
                <w:sz w:val="24"/>
              </w:rPr>
              <w:t>8</w:t>
            </w:r>
          </w:p>
        </w:tc>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Cs/>
                <w:kern w:val="0"/>
                <w:sz w:val="24"/>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人力保障</w:t>
            </w:r>
          </w:p>
          <w:p>
            <w:pPr>
              <w:adjustRightInd w:val="0"/>
              <w:snapToGrid w:val="0"/>
              <w:spacing w:line="360" w:lineRule="auto"/>
              <w:rPr>
                <w:rFonts w:ascii="宋体" w:hAnsi="宋体" w:cs="宋体"/>
                <w:bCs/>
                <w:kern w:val="0"/>
                <w:sz w:val="24"/>
              </w:rPr>
            </w:pPr>
            <w:r>
              <w:rPr>
                <w:rFonts w:hint="eastAsia" w:ascii="宋体" w:hAnsi="宋体" w:cs="宋体"/>
                <w:bCs/>
                <w:kern w:val="0"/>
                <w:sz w:val="24"/>
              </w:rPr>
              <w:t>（10分）</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岗位人员到位符合性，稳定性。</w:t>
            </w:r>
          </w:p>
          <w:p>
            <w:pPr>
              <w:adjustRightInd w:val="0"/>
              <w:snapToGrid w:val="0"/>
              <w:spacing w:line="360" w:lineRule="auto"/>
              <w:rPr>
                <w:rFonts w:ascii="宋体" w:hAnsi="宋体" w:cs="宋体"/>
                <w:bCs/>
                <w:kern w:val="0"/>
                <w:sz w:val="24"/>
              </w:rPr>
            </w:pPr>
            <w:r>
              <w:rPr>
                <w:rFonts w:hint="eastAsia" w:ascii="宋体" w:hAnsi="宋体" w:cs="宋体"/>
                <w:bCs/>
                <w:kern w:val="0"/>
                <w:sz w:val="24"/>
              </w:rPr>
              <w:t>差1-2分，一般3-4分、良5-8分、优秀9-10分</w:t>
            </w:r>
          </w:p>
        </w:tc>
        <w:tc>
          <w:tcPr>
            <w:tcW w:w="141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cs="宋体"/>
                <w:bCs/>
                <w:kern w:val="0"/>
                <w:sz w:val="24"/>
              </w:rPr>
              <w:t>信息中心</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
                <w:kern w:val="0"/>
                <w:sz w:val="24"/>
              </w:rPr>
            </w:pPr>
            <w:r>
              <w:rPr>
                <w:rFonts w:hint="eastAsia" w:ascii="宋体" w:hAnsi="宋体" w:cs="宋体"/>
                <w:b/>
                <w:kern w:val="0"/>
                <w:sz w:val="24"/>
              </w:rPr>
              <w:t>9</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投诉</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有效投诉</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每核实一例扣5分，总分扣完为止</w:t>
            </w:r>
          </w:p>
        </w:tc>
        <w:tc>
          <w:tcPr>
            <w:tcW w:w="141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cs="宋体"/>
                <w:bCs/>
                <w:kern w:val="0"/>
                <w:sz w:val="24"/>
              </w:rPr>
              <w:t>信息中心</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ascii="宋体" w:hAnsi="宋体"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6987" w:type="dxa"/>
            <w:gridSpan w:val="4"/>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sz w:val="24"/>
              </w:rPr>
              <w:t>项目汇总得分</w:t>
            </w:r>
          </w:p>
        </w:tc>
        <w:tc>
          <w:tcPr>
            <w:tcW w:w="2257" w:type="dxa"/>
            <w:gridSpan w:val="2"/>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360" w:lineRule="auto"/>
              <w:ind w:firstLine="720" w:firstLineChars="300"/>
              <w:rPr>
                <w:rFonts w:ascii="宋体" w:hAnsi="宋体" w:cs="宋体"/>
                <w:bCs/>
                <w:kern w:val="0"/>
                <w:sz w:val="24"/>
              </w:rPr>
            </w:pPr>
            <w:r>
              <w:rPr>
                <w:rFonts w:hint="eastAsia" w:ascii="宋体" w:hAnsi="宋体" w:cs="宋体"/>
                <w:bCs/>
                <w:kern w:val="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1846" w:type="dxa"/>
            <w:gridSpan w:val="2"/>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360" w:lineRule="auto"/>
              <w:rPr>
                <w:rFonts w:ascii="宋体" w:hAnsi="宋体" w:cs="宋体"/>
                <w:kern w:val="0"/>
                <w:sz w:val="24"/>
              </w:rPr>
            </w:pPr>
            <w:r>
              <w:rPr>
                <w:rFonts w:hint="eastAsia" w:ascii="宋体" w:hAnsi="宋体" w:cs="宋体"/>
                <w:kern w:val="0"/>
                <w:sz w:val="24"/>
              </w:rPr>
              <w:t>考评意见</w:t>
            </w:r>
          </w:p>
        </w:tc>
        <w:tc>
          <w:tcPr>
            <w:tcW w:w="7398" w:type="dxa"/>
            <w:gridSpan w:val="4"/>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bCs/>
                <w:kern w:val="0"/>
                <w:sz w:val="24"/>
              </w:rPr>
              <w:t>口非常满意 口满意 口一般 口不满意</w:t>
            </w:r>
          </w:p>
          <w:p>
            <w:pPr>
              <w:spacing w:after="120"/>
              <w:ind w:firstLine="240" w:firstLineChars="100"/>
              <w:rPr>
                <w:rFonts w:ascii="宋体" w:hAnsi="宋体"/>
                <w:sz w:val="24"/>
              </w:rPr>
            </w:pPr>
          </w:p>
          <w:p>
            <w:pPr>
              <w:spacing w:after="120"/>
              <w:ind w:firstLine="240" w:firstLineChars="100"/>
              <w:jc w:val="center"/>
              <w:rPr>
                <w:rFonts w:ascii="宋体" w:hAnsi="宋体"/>
                <w:sz w:val="24"/>
              </w:rPr>
            </w:pPr>
            <w:r>
              <w:rPr>
                <w:rFonts w:hint="eastAsia" w:ascii="宋体" w:hAnsi="宋体"/>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jc w:val="center"/>
        </w:trPr>
        <w:tc>
          <w:tcPr>
            <w:tcW w:w="9244" w:type="dxa"/>
            <w:gridSpan w:val="6"/>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360" w:lineRule="auto"/>
              <w:rPr>
                <w:rFonts w:ascii="宋体" w:hAnsi="宋体" w:cs="宋体"/>
                <w:bCs/>
                <w:kern w:val="0"/>
                <w:sz w:val="24"/>
              </w:rPr>
            </w:pPr>
            <w:r>
              <w:rPr>
                <w:rFonts w:hint="eastAsia" w:ascii="宋体" w:hAnsi="宋体" w:cs="宋体"/>
                <w:sz w:val="24"/>
              </w:rPr>
              <w:t>甲方（盖章确认）：</w:t>
            </w:r>
          </w:p>
          <w:p>
            <w:pPr>
              <w:adjustRightInd w:val="0"/>
              <w:snapToGrid w:val="0"/>
              <w:spacing w:line="360" w:lineRule="auto"/>
              <w:jc w:val="left"/>
              <w:rPr>
                <w:rFonts w:ascii="宋体" w:hAnsi="宋体" w:cs="宋体"/>
                <w:bCs/>
                <w:kern w:val="0"/>
                <w:sz w:val="24"/>
              </w:rPr>
            </w:pPr>
            <w:r>
              <w:rPr>
                <w:rFonts w:hint="eastAsia" w:ascii="宋体" w:hAnsi="宋体" w:cs="宋体"/>
                <w:bCs/>
                <w:kern w:val="0"/>
                <w:sz w:val="24"/>
              </w:rPr>
              <w:t>时间：年月日</w:t>
            </w:r>
          </w:p>
        </w:tc>
      </w:tr>
    </w:tbl>
    <w:p>
      <w:pPr>
        <w:spacing w:line="360" w:lineRule="auto"/>
        <w:rPr>
          <w:rFonts w:ascii="宋体" w:hAnsi="宋体" w:cs="宋体"/>
          <w:bCs/>
          <w:sz w:val="24"/>
        </w:rPr>
      </w:pPr>
      <w:r>
        <w:rPr>
          <w:rFonts w:hint="eastAsia" w:ascii="宋体" w:hAnsi="宋体" w:cs="宋体"/>
          <w:bCs/>
          <w:sz w:val="24"/>
        </w:rPr>
        <w:t>注：</w:t>
      </w:r>
    </w:p>
    <w:p>
      <w:pPr>
        <w:widowControl/>
        <w:spacing w:line="360" w:lineRule="auto"/>
        <w:jc w:val="left"/>
        <w:rPr>
          <w:rFonts w:ascii="宋体" w:hAnsi="Courier New"/>
          <w:sz w:val="24"/>
        </w:rPr>
      </w:pPr>
      <w:r>
        <w:rPr>
          <w:rFonts w:ascii="宋体" w:hAnsi="Courier New"/>
          <w:bCs/>
          <w:sz w:val="24"/>
        </w:rPr>
        <w:t>月度</w:t>
      </w:r>
      <w:r>
        <w:rPr>
          <w:rFonts w:ascii="宋体" w:hAnsi="Courier New"/>
          <w:sz w:val="24"/>
        </w:rPr>
        <w:t>考核低于80分的，视为服务不合格，医院有权要求对供应商服务质量做限期整改，如限期整改后还未达到招标要求的，医院有权提前终止合同。</w:t>
      </w:r>
    </w:p>
    <w:p>
      <w:pPr>
        <w:pStyle w:val="4"/>
        <w:rPr>
          <w:rFonts w:ascii="宋体" w:hAnsi="Courier New"/>
          <w:sz w:val="24"/>
        </w:rPr>
      </w:pPr>
      <w:r>
        <w:rPr>
          <w:rFonts w:ascii="宋体" w:hAnsi="Courier New"/>
          <w:sz w:val="24"/>
        </w:rPr>
        <w:t>首月考核低于70分的，视为服务不合格，取消中标资格，医院有权提前终止合同后果由中标人自行承担。</w:t>
      </w:r>
    </w:p>
    <w:p>
      <w:pPr>
        <w:pStyle w:val="3"/>
        <w:numPr>
          <w:ilvl w:val="0"/>
          <w:numId w:val="0"/>
        </w:numPr>
        <w:ind w:left="426"/>
        <w:rPr>
          <w:rFonts w:hint="eastAsia"/>
          <w:sz w:val="32"/>
          <w:szCs w:val="32"/>
        </w:rPr>
      </w:pPr>
      <w:r>
        <w:rPr>
          <w:rFonts w:hint="eastAsia"/>
          <w:sz w:val="32"/>
          <w:szCs w:val="32"/>
        </w:rPr>
        <w:t>附件</w:t>
      </w:r>
      <w:r>
        <w:rPr>
          <w:rFonts w:hint="eastAsia"/>
          <w:sz w:val="32"/>
          <w:szCs w:val="32"/>
          <w:lang w:val="en-US" w:eastAsia="zh-CN"/>
        </w:rPr>
        <w:t>1</w:t>
      </w:r>
      <w:r>
        <w:rPr>
          <w:rFonts w:hint="eastAsia"/>
          <w:sz w:val="32"/>
          <w:szCs w:val="32"/>
        </w:rPr>
        <w:t>：维修配件需求清单（带参考价格）</w:t>
      </w:r>
    </w:p>
    <w:p>
      <w:pPr>
        <w:spacing w:line="360" w:lineRule="auto"/>
        <w:ind w:firstLine="422" w:firstLineChars="200"/>
        <w:rPr>
          <w:rFonts w:ascii="宋体" w:hAnsi="宋体"/>
          <w:b/>
          <w:szCs w:val="21"/>
        </w:rPr>
      </w:pPr>
      <w:r>
        <w:rPr>
          <w:rFonts w:hint="eastAsia" w:ascii="宋体" w:hAnsi="宋体"/>
          <w:b/>
          <w:szCs w:val="21"/>
        </w:rPr>
        <w:t>下</w:t>
      </w:r>
      <w:r>
        <w:rPr>
          <w:rFonts w:ascii="宋体" w:hAnsi="宋体"/>
          <w:b/>
          <w:szCs w:val="21"/>
        </w:rPr>
        <w:t>述列表为</w:t>
      </w:r>
      <w:r>
        <w:rPr>
          <w:rFonts w:hint="eastAsia" w:ascii="宋体" w:hAnsi="宋体"/>
          <w:b/>
          <w:szCs w:val="21"/>
          <w:lang w:val="en-US" w:eastAsia="zh-CN"/>
        </w:rPr>
        <w:t>浙江省肿瘤</w:t>
      </w:r>
      <w:r>
        <w:rPr>
          <w:rFonts w:hint="eastAsia" w:ascii="宋体" w:hAnsi="宋体"/>
          <w:b/>
          <w:szCs w:val="21"/>
        </w:rPr>
        <w:t>医院</w:t>
      </w:r>
      <w:r>
        <w:rPr>
          <w:rFonts w:ascii="宋体" w:hAnsi="宋体"/>
          <w:b/>
          <w:szCs w:val="21"/>
        </w:rPr>
        <w:t>常用设备</w:t>
      </w:r>
      <w:r>
        <w:rPr>
          <w:rFonts w:hint="eastAsia" w:ascii="宋体" w:hAnsi="宋体"/>
          <w:b/>
          <w:szCs w:val="21"/>
        </w:rPr>
        <w:t>与</w:t>
      </w:r>
      <w:r>
        <w:rPr>
          <w:rFonts w:ascii="宋体" w:hAnsi="宋体"/>
          <w:b/>
          <w:szCs w:val="21"/>
        </w:rPr>
        <w:t>配件，</w:t>
      </w:r>
      <w:r>
        <w:rPr>
          <w:rFonts w:hint="eastAsia" w:ascii="宋体" w:hAnsi="宋体"/>
          <w:b/>
          <w:szCs w:val="21"/>
        </w:rPr>
        <w:t>包括但不限于本列表设备范围，凡非立项目招标采购的零采设备均可为本合同所涵盖采购范围。（按需采购、按实结算）</w:t>
      </w:r>
    </w:p>
    <w:p/>
    <w:tbl>
      <w:tblPr>
        <w:tblStyle w:val="5"/>
        <w:tblW w:w="0" w:type="auto"/>
        <w:tblInd w:w="0" w:type="dxa"/>
        <w:tblLayout w:type="autofit"/>
        <w:tblCellMar>
          <w:top w:w="0" w:type="dxa"/>
          <w:left w:w="108" w:type="dxa"/>
          <w:bottom w:w="0" w:type="dxa"/>
          <w:right w:w="108" w:type="dxa"/>
        </w:tblCellMar>
      </w:tblPr>
      <w:tblGrid>
        <w:gridCol w:w="636"/>
        <w:gridCol w:w="1266"/>
        <w:gridCol w:w="2316"/>
        <w:gridCol w:w="1686"/>
        <w:gridCol w:w="879"/>
        <w:gridCol w:w="636"/>
        <w:gridCol w:w="1056"/>
      </w:tblGrid>
      <w:tr>
        <w:tblPrEx>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0" w:type="auto"/>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大类</w:t>
            </w:r>
          </w:p>
        </w:tc>
        <w:tc>
          <w:tcPr>
            <w:tcW w:w="23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设备名称及规格</w:t>
            </w:r>
          </w:p>
        </w:tc>
        <w:tc>
          <w:tcPr>
            <w:tcW w:w="1686" w:type="dxa"/>
            <w:tcBorders>
              <w:top w:val="single" w:color="auto" w:sz="4" w:space="0"/>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配件名称</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参考品牌</w:t>
            </w:r>
          </w:p>
        </w:tc>
        <w:tc>
          <w:tcPr>
            <w:tcW w:w="0" w:type="auto"/>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0" w:type="auto"/>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预算单价</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0" w:type="auto"/>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针式打印机</w:t>
            </w: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爱普生 LQ-735K</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打印头</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压杆</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95.00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按键组件</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95.00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320.00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爱普生 LQ-80KF</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打印头</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爱普生 LQ-1600KⅢH</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打印头</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750.00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爱普生 DS6500</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铰链</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320.00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得实 DS610Ⅱ</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得实 DS-2600Ⅱ</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打印头</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480.00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得实DS1920</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360.00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0" w:type="auto"/>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激光打印机</w:t>
            </w:r>
          </w:p>
        </w:tc>
        <w:tc>
          <w:tcPr>
            <w:tcW w:w="2316" w:type="dxa"/>
            <w:vMerge w:val="restart"/>
            <w:tcBorders>
              <w:top w:val="nil"/>
              <w:left w:val="nil"/>
              <w:right w:val="single" w:color="auto" w:sz="4" w:space="0"/>
            </w:tcBorders>
            <w:noWrap/>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惠普</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转印带</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1550.00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left w:val="nil"/>
              <w:right w:val="single" w:color="auto" w:sz="4" w:space="0"/>
            </w:tcBorders>
            <w:noWrap/>
            <w:vAlign w:val="center"/>
          </w:tcPr>
          <w:p>
            <w:pPr>
              <w:widowControl/>
              <w:jc w:val="center"/>
              <w:rPr>
                <w:rFonts w:hint="eastAsia"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定影组件</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800.00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left w:val="nil"/>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进纸传感器</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120.00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left w:val="nil"/>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搓纸组件</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150.00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left w:val="nil"/>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控制面板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left w:val="nil"/>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离合器</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施乐C2120</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800.00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转印单元</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1200.00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加热组件</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2500.00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0" w:type="auto"/>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条码打印机</w:t>
            </w: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得实 DS-520/DL-620/DS-200</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打印头</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480.00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420.00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电源</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立象214plus4</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320.00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进纸传感器</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打印头</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齿轮组件</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电源</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29</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机架</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120.00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36</w:t>
            </w:r>
          </w:p>
        </w:tc>
        <w:tc>
          <w:tcPr>
            <w:tcW w:w="0" w:type="auto"/>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PDA</w:t>
            </w: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得实等</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810.00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37</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处理器</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580.00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38</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存储芯片</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39</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电源管理芯片</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40</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功能天线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41</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连接器</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42</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USB接口</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43</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T卡座</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44</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SIM卡座</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45</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喇叭</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46</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按键板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285.00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47</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尾插板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131.00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48</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摄像模块</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182.00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49</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扫描头</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805.00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50</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FPC排线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132.00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51</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触摸屏</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370.00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52</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液晶屏</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460.00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53</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按键</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54</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窗体</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55</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前壳</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140.00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56</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电池</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550.00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57</w:t>
            </w:r>
          </w:p>
        </w:tc>
        <w:tc>
          <w:tcPr>
            <w:tcW w:w="0" w:type="auto"/>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主机类</w:t>
            </w: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显示器</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电源板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联想</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230.00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58</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联想</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315.00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59</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液晶屏</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联想</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935.00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60</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主机</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主板维修</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联想</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450.00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61</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主板换件维修</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联想</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850.00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62</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主机开关</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联想</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63</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显卡维修</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联想</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64</w:t>
            </w:r>
          </w:p>
        </w:tc>
        <w:tc>
          <w:tcPr>
            <w:tcW w:w="0" w:type="auto"/>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投影仪</w:t>
            </w: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投影仪</w:t>
            </w:r>
          </w:p>
          <w:p>
            <w:pPr>
              <w:widowControl/>
              <w:jc w:val="center"/>
              <w:rPr>
                <w:rFonts w:hint="eastAsia" w:ascii="宋体" w:hAnsi="宋体" w:cs="宋体"/>
                <w:kern w:val="0"/>
                <w:szCs w:val="21"/>
              </w:rPr>
            </w:pPr>
            <w:r>
              <w:rPr>
                <w:rFonts w:hint="eastAsia" w:ascii="宋体" w:hAnsi="宋体" w:cs="宋体"/>
                <w:kern w:val="0"/>
                <w:szCs w:val="21"/>
              </w:rPr>
              <w:t>（单价6000以内）</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灯泡</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800.00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65</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滤光片</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400.00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66</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主板维修</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400.00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67</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连接线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条</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68</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投影仪</w:t>
            </w:r>
          </w:p>
          <w:p>
            <w:pPr>
              <w:widowControl/>
              <w:jc w:val="center"/>
              <w:rPr>
                <w:rFonts w:hint="eastAsia" w:ascii="宋体" w:hAnsi="宋体" w:cs="宋体"/>
                <w:kern w:val="0"/>
                <w:szCs w:val="21"/>
              </w:rPr>
            </w:pPr>
            <w:r>
              <w:rPr>
                <w:rFonts w:hint="eastAsia" w:ascii="宋体" w:hAnsi="宋体" w:cs="宋体"/>
                <w:kern w:val="0"/>
                <w:szCs w:val="21"/>
              </w:rPr>
              <w:t>（单价6000-10000元以内）</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灯泡</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1100.00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69</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滤光片</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500.00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70</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主板维修</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500.00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71</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连接线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条</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72</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投影仪</w:t>
            </w:r>
          </w:p>
          <w:p>
            <w:pPr>
              <w:widowControl/>
              <w:jc w:val="center"/>
              <w:rPr>
                <w:rFonts w:hint="eastAsia" w:ascii="宋体" w:hAnsi="宋体" w:cs="宋体"/>
                <w:kern w:val="0"/>
                <w:szCs w:val="21"/>
              </w:rPr>
            </w:pPr>
            <w:r>
              <w:rPr>
                <w:rFonts w:hint="eastAsia" w:ascii="宋体" w:hAnsi="宋体" w:cs="宋体"/>
                <w:kern w:val="0"/>
                <w:szCs w:val="21"/>
              </w:rPr>
              <w:t>（单价10000-20000元以内）</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灯泡</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1500.00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73</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滤光片</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600.00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74</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主板维修</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600.00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75</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连接线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条</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76</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投影仪</w:t>
            </w:r>
          </w:p>
          <w:p>
            <w:pPr>
              <w:widowControl/>
              <w:jc w:val="center"/>
              <w:rPr>
                <w:rFonts w:hint="eastAsia" w:ascii="宋体" w:hAnsi="宋体" w:cs="宋体"/>
                <w:kern w:val="0"/>
                <w:szCs w:val="21"/>
              </w:rPr>
            </w:pPr>
            <w:r>
              <w:rPr>
                <w:rFonts w:hint="eastAsia" w:ascii="宋体" w:hAnsi="宋体" w:cs="宋体"/>
                <w:kern w:val="0"/>
                <w:szCs w:val="21"/>
              </w:rPr>
              <w:t>（单价20000元以上）</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灯泡</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2000.00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77</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滤光片</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800.00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78</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主板维修</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1000.00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79</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连接线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条</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200.00 </w:t>
            </w:r>
          </w:p>
        </w:tc>
      </w:tr>
      <w:tr>
        <w:tblPrEx>
          <w:tblCellMar>
            <w:top w:w="0" w:type="dxa"/>
            <w:left w:w="108" w:type="dxa"/>
            <w:bottom w:w="0" w:type="dxa"/>
            <w:right w:w="108" w:type="dxa"/>
          </w:tblCellMar>
        </w:tblPrEx>
        <w:trPr>
          <w:trHeight w:val="459"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84</w:t>
            </w:r>
          </w:p>
        </w:tc>
        <w:tc>
          <w:tcPr>
            <w:tcW w:w="0" w:type="auto"/>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会议设备</w:t>
            </w: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鹅颈话筒</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海天 HT-38A</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85</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手持话筒</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十度（shidu) U10通用版</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400.00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86</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调音台</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得胜（TAKSTAR）XR-210FX 专业10路调音台</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1500.00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87</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功放</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新科(Shinco)AV-112 数字hifi功放机</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2200.00 </w:t>
            </w:r>
          </w:p>
        </w:tc>
      </w:tr>
      <w:tr>
        <w:tblPrEx>
          <w:tblCellMar>
            <w:top w:w="0" w:type="dxa"/>
            <w:left w:w="108" w:type="dxa"/>
            <w:bottom w:w="0" w:type="dxa"/>
            <w:right w:w="108" w:type="dxa"/>
          </w:tblCellMar>
        </w:tblPrEx>
        <w:trPr>
          <w:trHeight w:val="313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88</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网传矩阵</w:t>
            </w:r>
          </w:p>
        </w:tc>
        <w:tc>
          <w:tcPr>
            <w:tcW w:w="1686" w:type="dxa"/>
            <w:tcBorders>
              <w:top w:val="nil"/>
              <w:left w:val="nil"/>
              <w:bottom w:val="single" w:color="auto" w:sz="4" w:space="0"/>
              <w:right w:val="nil"/>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迈拓维矩（MT-viki） MT-ED404 HDMI矩阵切换器 4进4出 支持网线远距离传输50米</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3000.00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89</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电源时序器</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得胜（TAKSTAR）EPO-802N电源时序器 8路控制</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1380.00 </w:t>
            </w:r>
          </w:p>
        </w:tc>
      </w:tr>
      <w:tr>
        <w:tblPrEx>
          <w:tblCellMar>
            <w:top w:w="0" w:type="dxa"/>
            <w:left w:w="108" w:type="dxa"/>
            <w:bottom w:w="0" w:type="dxa"/>
            <w:right w:w="108" w:type="dxa"/>
          </w:tblCellMar>
        </w:tblPrEx>
        <w:trPr>
          <w:trHeight w:val="424"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90</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多媒体地插</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定制化</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360.00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91</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升降机</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威科（WEIKE)投影仪电动吊架</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1800.00 </w:t>
            </w:r>
          </w:p>
        </w:tc>
      </w:tr>
      <w:tr>
        <w:tblPrEx>
          <w:tblCellMar>
            <w:top w:w="0" w:type="dxa"/>
            <w:left w:w="108" w:type="dxa"/>
            <w:bottom w:w="0" w:type="dxa"/>
            <w:right w:w="108" w:type="dxa"/>
          </w:tblCellMar>
        </w:tblPrEx>
        <w:trPr>
          <w:trHeight w:val="463"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113</w:t>
            </w:r>
          </w:p>
        </w:tc>
        <w:tc>
          <w:tcPr>
            <w:tcW w:w="0" w:type="auto"/>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其他类</w:t>
            </w: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扫描器</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东大集成</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原厂</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800.00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114</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医保读卡器</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Z9/Z90</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德卡</w:t>
            </w: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116</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电动幕布</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1000.00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117</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自助取号机</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维修主板</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280.00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118</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打印头</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1450.00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119</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语音报价器</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新科HC-66收款播报器</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160.00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121</w:t>
            </w: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31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数据还原</w:t>
            </w:r>
          </w:p>
        </w:tc>
        <w:tc>
          <w:tcPr>
            <w:tcW w:w="1686" w:type="dxa"/>
            <w:tcBorders>
              <w:top w:val="nil"/>
              <w:left w:val="nil"/>
              <w:bottom w:val="single" w:color="auto" w:sz="4" w:space="0"/>
              <w:right w:val="nil"/>
            </w:tcBorders>
            <w:noWrap/>
            <w:vAlign w:val="center"/>
          </w:tcPr>
          <w:p>
            <w:pPr>
              <w:widowControl/>
              <w:jc w:val="center"/>
              <w:rPr>
                <w:rFonts w:hint="eastAsia" w:ascii="宋体" w:hAnsi="宋体" w:cs="宋体"/>
                <w:kern w:val="0"/>
                <w:szCs w:val="21"/>
              </w:rPr>
            </w:pPr>
            <w:r>
              <w:rPr>
                <w:rFonts w:hint="eastAsia" w:ascii="宋体" w:hAnsi="宋体" w:cs="宋体"/>
                <w:kern w:val="0"/>
                <w:szCs w:val="21"/>
              </w:rPr>
              <w:t>数据恢复服务</w:t>
            </w:r>
          </w:p>
        </w:tc>
        <w:tc>
          <w:tcPr>
            <w:tcW w:w="87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次</w:t>
            </w:r>
          </w:p>
        </w:tc>
        <w:tc>
          <w:tcPr>
            <w:tcW w:w="0" w:type="auto"/>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Cs w:val="21"/>
              </w:rPr>
            </w:pPr>
            <w:r>
              <w:rPr>
                <w:rFonts w:hint="eastAsia" w:ascii="宋体" w:hAnsi="宋体" w:cs="宋体"/>
                <w:kern w:val="0"/>
                <w:szCs w:val="21"/>
              </w:rPr>
              <w:t xml:space="preserve">2200.00 </w:t>
            </w:r>
          </w:p>
        </w:tc>
      </w:tr>
    </w:tbl>
    <w:p>
      <w:pPr>
        <w:pStyle w:val="2"/>
        <w:rPr>
          <w:rFonts w:hint="eastAsia"/>
        </w:rPr>
      </w:pPr>
    </w:p>
    <w:p>
      <w:pPr>
        <w:pStyle w:val="2"/>
        <w:rPr>
          <w:rFonts w:hint="eastAsia"/>
        </w:rPr>
      </w:pPr>
    </w:p>
    <w:p>
      <w:pPr>
        <w:pStyle w:val="3"/>
        <w:numPr>
          <w:ilvl w:val="0"/>
          <w:numId w:val="0"/>
        </w:numPr>
        <w:ind w:left="426"/>
        <w:rPr>
          <w:color w:val="FF0000"/>
          <w:sz w:val="32"/>
          <w:szCs w:val="32"/>
        </w:rPr>
      </w:pPr>
      <w:r>
        <w:rPr>
          <w:rFonts w:hint="eastAsia"/>
          <w:color w:val="FF0000"/>
          <w:sz w:val="32"/>
          <w:szCs w:val="32"/>
        </w:rPr>
        <w:t>附件3：备品备件</w:t>
      </w:r>
    </w:p>
    <w:p>
      <w:pPr>
        <w:spacing w:line="360" w:lineRule="auto"/>
        <w:rPr>
          <w:color w:val="000000"/>
        </w:rPr>
      </w:pPr>
    </w:p>
    <w:p>
      <w:pPr>
        <w:spacing w:line="360" w:lineRule="auto"/>
        <w:jc w:val="center"/>
        <w:rPr>
          <w:rFonts w:ascii="宋体" w:hAnsi="宋体" w:cs="宋体"/>
          <w:b/>
          <w:bCs/>
          <w:color w:val="000000"/>
          <w:szCs w:val="21"/>
        </w:rPr>
      </w:pPr>
      <w:r>
        <w:rPr>
          <w:rFonts w:hint="eastAsia" w:ascii="宋体" w:hAnsi="宋体" w:cs="宋体"/>
          <w:b/>
          <w:bCs/>
          <w:color w:val="000000"/>
          <w:szCs w:val="21"/>
        </w:rPr>
        <w:t>备品备机清单表</w:t>
      </w:r>
    </w:p>
    <w:tbl>
      <w:tblPr>
        <w:tblStyle w:val="5"/>
        <w:tblW w:w="5000" w:type="pct"/>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62"/>
        <w:gridCol w:w="1834"/>
        <w:gridCol w:w="3668"/>
        <w:gridCol w:w="215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06"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序号</w:t>
            </w:r>
          </w:p>
        </w:tc>
        <w:tc>
          <w:tcPr>
            <w:tcW w:w="1076" w:type="pct"/>
            <w:noWrap w:val="0"/>
            <w:vAlign w:val="center"/>
          </w:tcPr>
          <w:p>
            <w:pPr>
              <w:widowControl/>
              <w:adjustRightInd w:val="0"/>
              <w:snapToGrid w:val="0"/>
              <w:spacing w:line="360" w:lineRule="auto"/>
              <w:ind w:left="210" w:hanging="210" w:hangingChars="100"/>
              <w:rPr>
                <w:rFonts w:ascii="宋体" w:hAnsi="宋体" w:cs="宋体"/>
                <w:color w:val="000000"/>
                <w:szCs w:val="21"/>
              </w:rPr>
            </w:pPr>
            <w:r>
              <w:rPr>
                <w:rFonts w:hint="eastAsia" w:ascii="宋体" w:hAnsi="宋体" w:cs="宋体"/>
                <w:color w:val="000000"/>
                <w:szCs w:val="21"/>
              </w:rPr>
              <w:t>备品名称</w:t>
            </w:r>
          </w:p>
        </w:tc>
        <w:tc>
          <w:tcPr>
            <w:tcW w:w="2152" w:type="pct"/>
            <w:noWrap w:val="0"/>
            <w:vAlign w:val="center"/>
          </w:tcPr>
          <w:p>
            <w:pPr>
              <w:widowControl/>
              <w:adjustRightInd w:val="0"/>
              <w:snapToGrid w:val="0"/>
              <w:spacing w:line="360" w:lineRule="auto"/>
              <w:ind w:left="210" w:hanging="210" w:hangingChars="100"/>
              <w:rPr>
                <w:rFonts w:ascii="宋体" w:hAnsi="宋体" w:cs="宋体"/>
                <w:color w:val="000000"/>
                <w:szCs w:val="21"/>
              </w:rPr>
            </w:pPr>
            <w:r>
              <w:rPr>
                <w:rFonts w:hint="eastAsia" w:ascii="宋体" w:hAnsi="宋体" w:cs="宋体"/>
                <w:color w:val="000000"/>
                <w:szCs w:val="21"/>
              </w:rPr>
              <w:t>品牌型号</w:t>
            </w:r>
          </w:p>
        </w:tc>
        <w:tc>
          <w:tcPr>
            <w:tcW w:w="1266" w:type="pct"/>
            <w:noWrap w:val="0"/>
            <w:vAlign w:val="center"/>
          </w:tcPr>
          <w:p>
            <w:pPr>
              <w:widowControl/>
              <w:adjustRightInd w:val="0"/>
              <w:snapToGrid w:val="0"/>
              <w:spacing w:line="360" w:lineRule="auto"/>
              <w:ind w:left="210" w:hanging="210" w:hangingChars="100"/>
              <w:jc w:val="center"/>
              <w:rPr>
                <w:rFonts w:ascii="宋体" w:hAnsi="宋体" w:cs="宋体"/>
                <w:color w:val="000000"/>
                <w:szCs w:val="21"/>
              </w:rPr>
            </w:pPr>
            <w:r>
              <w:rPr>
                <w:rFonts w:hint="eastAsia" w:ascii="宋体" w:hAnsi="宋体" w:cs="宋体"/>
                <w:color w:val="000000"/>
                <w:szCs w:val="21"/>
              </w:rPr>
              <w:t>提供数量</w:t>
            </w:r>
          </w:p>
          <w:p>
            <w:pPr>
              <w:widowControl/>
              <w:adjustRightInd w:val="0"/>
              <w:snapToGrid w:val="0"/>
              <w:spacing w:line="360" w:lineRule="auto"/>
              <w:ind w:left="210" w:hanging="210" w:hangingChars="100"/>
              <w:jc w:val="center"/>
              <w:rPr>
                <w:rFonts w:ascii="宋体" w:hAnsi="宋体" w:cs="宋体"/>
                <w:color w:val="000000"/>
                <w:szCs w:val="21"/>
              </w:rPr>
            </w:pPr>
            <w:r>
              <w:rPr>
                <w:rFonts w:hint="eastAsia" w:ascii="宋体" w:hAnsi="宋体" w:cs="宋体"/>
                <w:color w:val="000000"/>
                <w:szCs w:val="21"/>
              </w:rPr>
              <w:t>（投标人自填）</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06"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1</w:t>
            </w:r>
          </w:p>
        </w:tc>
        <w:tc>
          <w:tcPr>
            <w:tcW w:w="1076"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A4黑白激光网络双面打印机</w:t>
            </w:r>
          </w:p>
        </w:tc>
        <w:tc>
          <w:tcPr>
            <w:tcW w:w="2152" w:type="pct"/>
            <w:noWrap w:val="0"/>
            <w:vAlign w:val="center"/>
          </w:tcPr>
          <w:p>
            <w:pPr>
              <w:widowControl/>
              <w:adjustRightInd w:val="0"/>
              <w:snapToGrid w:val="0"/>
              <w:spacing w:line="360" w:lineRule="auto"/>
              <w:rPr>
                <w:rFonts w:hint="eastAsia" w:ascii="宋体" w:hAnsi="宋体" w:cs="宋体"/>
                <w:color w:val="000000"/>
                <w:szCs w:val="21"/>
              </w:rPr>
            </w:pPr>
            <w:r>
              <w:rPr>
                <w:rFonts w:hint="eastAsia" w:ascii="宋体" w:hAnsi="宋体" w:cs="宋体"/>
                <w:color w:val="000000"/>
                <w:szCs w:val="21"/>
              </w:rPr>
              <w:t>惠普</w:t>
            </w:r>
            <w:r>
              <w:rPr>
                <w:rFonts w:ascii="宋体" w:hAnsi="宋体" w:cs="宋体"/>
                <w:color w:val="000000"/>
                <w:szCs w:val="21"/>
              </w:rPr>
              <w:t>403D</w:t>
            </w:r>
          </w:p>
        </w:tc>
        <w:tc>
          <w:tcPr>
            <w:tcW w:w="1266" w:type="pct"/>
            <w:noWrap w:val="0"/>
            <w:vAlign w:val="center"/>
          </w:tcPr>
          <w:p>
            <w:pPr>
              <w:widowControl/>
              <w:adjustRightInd w:val="0"/>
              <w:snapToGrid w:val="0"/>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06"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2</w:t>
            </w:r>
          </w:p>
        </w:tc>
        <w:tc>
          <w:tcPr>
            <w:tcW w:w="1076"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针式打印机</w:t>
            </w:r>
          </w:p>
        </w:tc>
        <w:tc>
          <w:tcPr>
            <w:tcW w:w="2152"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得实</w:t>
            </w:r>
            <w:r>
              <w:rPr>
                <w:rFonts w:ascii="宋体" w:hAnsi="宋体" w:cs="宋体"/>
                <w:color w:val="000000"/>
                <w:szCs w:val="21"/>
              </w:rPr>
              <w:t>DS-</w:t>
            </w:r>
            <w:r>
              <w:rPr>
                <w:rFonts w:hint="eastAsia" w:ascii="宋体" w:hAnsi="宋体" w:cs="宋体"/>
                <w:color w:val="000000"/>
                <w:szCs w:val="21"/>
              </w:rPr>
              <w:t>1920</w:t>
            </w:r>
          </w:p>
        </w:tc>
        <w:tc>
          <w:tcPr>
            <w:tcW w:w="1266" w:type="pct"/>
            <w:noWrap w:val="0"/>
            <w:vAlign w:val="center"/>
          </w:tcPr>
          <w:p>
            <w:pPr>
              <w:widowControl/>
              <w:adjustRightInd w:val="0"/>
              <w:snapToGrid w:val="0"/>
              <w:spacing w:line="360" w:lineRule="auto"/>
              <w:jc w:val="center"/>
              <w:rPr>
                <w:rFonts w:ascii="宋体" w:hAnsi="宋体" w:cs="宋体"/>
                <w:color w:val="000000"/>
                <w:szCs w:val="21"/>
              </w:rPr>
            </w:pPr>
            <w:r>
              <w:rPr>
                <w:rFonts w:ascii="宋体" w:hAnsi="宋体" w:cs="宋体"/>
                <w:color w:val="000000"/>
                <w:szCs w:val="21"/>
              </w:rPr>
              <w:t>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06" w:type="pct"/>
            <w:noWrap w:val="0"/>
            <w:vAlign w:val="center"/>
          </w:tcPr>
          <w:p>
            <w:pPr>
              <w:widowControl/>
              <w:adjustRightInd w:val="0"/>
              <w:snapToGrid w:val="0"/>
              <w:spacing w:line="360" w:lineRule="auto"/>
              <w:rPr>
                <w:rFonts w:hint="eastAsia" w:ascii="宋体" w:hAnsi="宋体" w:cs="宋体"/>
                <w:color w:val="000000"/>
                <w:szCs w:val="21"/>
              </w:rPr>
            </w:pPr>
            <w:r>
              <w:rPr>
                <w:rFonts w:hint="eastAsia" w:ascii="宋体" w:hAnsi="宋体" w:cs="宋体"/>
                <w:color w:val="000000"/>
                <w:szCs w:val="21"/>
              </w:rPr>
              <w:t>3</w:t>
            </w:r>
          </w:p>
        </w:tc>
        <w:tc>
          <w:tcPr>
            <w:tcW w:w="1076" w:type="pct"/>
            <w:noWrap w:val="0"/>
            <w:vAlign w:val="center"/>
          </w:tcPr>
          <w:p>
            <w:pPr>
              <w:widowControl/>
              <w:adjustRightInd w:val="0"/>
              <w:snapToGrid w:val="0"/>
              <w:spacing w:line="360" w:lineRule="auto"/>
              <w:rPr>
                <w:rFonts w:hint="eastAsia" w:ascii="宋体" w:hAnsi="宋体" w:cs="宋体"/>
                <w:color w:val="000000"/>
                <w:szCs w:val="21"/>
              </w:rPr>
            </w:pPr>
            <w:r>
              <w:rPr>
                <w:rFonts w:hint="eastAsia" w:ascii="宋体" w:hAnsi="宋体" w:cs="宋体"/>
                <w:color w:val="000000"/>
                <w:szCs w:val="21"/>
              </w:rPr>
              <w:t>条码打印机</w:t>
            </w:r>
          </w:p>
        </w:tc>
        <w:tc>
          <w:tcPr>
            <w:tcW w:w="2152" w:type="pct"/>
            <w:noWrap w:val="0"/>
            <w:vAlign w:val="center"/>
          </w:tcPr>
          <w:p>
            <w:pPr>
              <w:widowControl/>
              <w:adjustRightInd w:val="0"/>
              <w:snapToGrid w:val="0"/>
              <w:spacing w:line="360" w:lineRule="auto"/>
              <w:rPr>
                <w:rFonts w:hint="eastAsia" w:ascii="宋体" w:hAnsi="宋体" w:cs="宋体"/>
                <w:color w:val="000000"/>
                <w:szCs w:val="21"/>
              </w:rPr>
            </w:pPr>
            <w:r>
              <w:rPr>
                <w:rFonts w:hint="eastAsia" w:ascii="宋体" w:hAnsi="宋体" w:cs="宋体"/>
                <w:color w:val="000000"/>
                <w:szCs w:val="21"/>
              </w:rPr>
              <w:t>得实D</w:t>
            </w:r>
            <w:r>
              <w:rPr>
                <w:rFonts w:ascii="宋体" w:hAnsi="宋体" w:cs="宋体"/>
                <w:color w:val="000000"/>
                <w:szCs w:val="21"/>
              </w:rPr>
              <w:t>L-</w:t>
            </w:r>
            <w:r>
              <w:rPr>
                <w:rFonts w:hint="eastAsia" w:ascii="宋体" w:hAnsi="宋体" w:cs="宋体"/>
                <w:color w:val="000000"/>
                <w:szCs w:val="21"/>
                <w:lang w:val="en-US" w:eastAsia="zh-CN"/>
              </w:rPr>
              <w:t>208</w:t>
            </w:r>
          </w:p>
        </w:tc>
        <w:tc>
          <w:tcPr>
            <w:tcW w:w="1266" w:type="pct"/>
            <w:noWrap w:val="0"/>
            <w:vAlign w:val="center"/>
          </w:tcPr>
          <w:p>
            <w:pPr>
              <w:widowControl/>
              <w:adjustRightInd w:val="0"/>
              <w:snapToGrid w:val="0"/>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06" w:type="pct"/>
            <w:noWrap w:val="0"/>
            <w:vAlign w:val="center"/>
          </w:tcPr>
          <w:p>
            <w:pPr>
              <w:widowControl/>
              <w:adjustRightInd w:val="0"/>
              <w:snapToGrid w:val="0"/>
              <w:spacing w:line="360" w:lineRule="auto"/>
              <w:rPr>
                <w:rFonts w:ascii="宋体" w:hAnsi="宋体" w:cs="宋体"/>
                <w:color w:val="000000"/>
                <w:szCs w:val="21"/>
              </w:rPr>
            </w:pPr>
            <w:r>
              <w:rPr>
                <w:rFonts w:ascii="宋体" w:hAnsi="宋体" w:cs="宋体"/>
                <w:color w:val="000000"/>
                <w:szCs w:val="21"/>
              </w:rPr>
              <w:t>4</w:t>
            </w:r>
          </w:p>
        </w:tc>
        <w:tc>
          <w:tcPr>
            <w:tcW w:w="1076"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A4激光/喷墨网络双面打印一体机</w:t>
            </w:r>
          </w:p>
        </w:tc>
        <w:tc>
          <w:tcPr>
            <w:tcW w:w="2152"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惠普</w:t>
            </w:r>
            <w:r>
              <w:rPr>
                <w:rFonts w:ascii="宋体" w:hAnsi="宋体" w:cs="宋体"/>
                <w:color w:val="000000"/>
                <w:szCs w:val="21"/>
              </w:rPr>
              <w:t>233sdw</w:t>
            </w:r>
            <w:r>
              <w:rPr>
                <w:rFonts w:hint="eastAsia" w:ascii="宋体" w:hAnsi="宋体" w:cs="宋体"/>
                <w:color w:val="000000"/>
                <w:szCs w:val="21"/>
              </w:rPr>
              <w:t>/爱普生3</w:t>
            </w:r>
            <w:r>
              <w:rPr>
                <w:rFonts w:ascii="宋体" w:hAnsi="宋体" w:cs="宋体"/>
                <w:color w:val="000000"/>
                <w:szCs w:val="21"/>
              </w:rPr>
              <w:t>178</w:t>
            </w:r>
          </w:p>
        </w:tc>
        <w:tc>
          <w:tcPr>
            <w:tcW w:w="1266" w:type="pct"/>
            <w:noWrap w:val="0"/>
            <w:vAlign w:val="center"/>
          </w:tcPr>
          <w:p>
            <w:pPr>
              <w:widowControl/>
              <w:adjustRightInd w:val="0"/>
              <w:snapToGrid w:val="0"/>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06" w:type="pct"/>
            <w:noWrap w:val="0"/>
            <w:vAlign w:val="center"/>
          </w:tcPr>
          <w:p>
            <w:pPr>
              <w:widowControl/>
              <w:adjustRightInd w:val="0"/>
              <w:snapToGrid w:val="0"/>
              <w:spacing w:line="360" w:lineRule="auto"/>
              <w:rPr>
                <w:rFonts w:ascii="宋体" w:hAnsi="宋体" w:cs="宋体"/>
                <w:color w:val="000000"/>
                <w:szCs w:val="21"/>
              </w:rPr>
            </w:pPr>
            <w:r>
              <w:rPr>
                <w:rFonts w:ascii="宋体" w:hAnsi="宋体" w:cs="宋体"/>
                <w:color w:val="000000"/>
                <w:szCs w:val="21"/>
              </w:rPr>
              <w:t>5</w:t>
            </w:r>
          </w:p>
        </w:tc>
        <w:tc>
          <w:tcPr>
            <w:tcW w:w="1076"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台式电脑</w:t>
            </w:r>
          </w:p>
        </w:tc>
        <w:tc>
          <w:tcPr>
            <w:tcW w:w="2152"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olor w:val="000000"/>
                <w:szCs w:val="21"/>
                <w:lang w:val="en-US" w:eastAsia="zh-CN"/>
              </w:rPr>
              <w:t>联想</w:t>
            </w:r>
            <w:r>
              <w:rPr>
                <w:rFonts w:hint="eastAsia" w:ascii="宋体" w:hAnsi="宋体"/>
                <w:color w:val="000000"/>
                <w:szCs w:val="21"/>
              </w:rPr>
              <w:t>商用台式电脑，要求CPU ：I5处理器、内存≥</w:t>
            </w:r>
            <w:r>
              <w:rPr>
                <w:rFonts w:ascii="宋体" w:hAnsi="宋体"/>
                <w:color w:val="000000"/>
                <w:szCs w:val="21"/>
              </w:rPr>
              <w:t>8</w:t>
            </w:r>
            <w:r>
              <w:rPr>
                <w:rFonts w:hint="eastAsia" w:ascii="宋体" w:hAnsi="宋体"/>
                <w:color w:val="000000"/>
                <w:szCs w:val="21"/>
              </w:rPr>
              <w:t>G、5</w:t>
            </w:r>
            <w:r>
              <w:rPr>
                <w:rFonts w:ascii="宋体" w:hAnsi="宋体"/>
                <w:color w:val="000000"/>
                <w:szCs w:val="21"/>
              </w:rPr>
              <w:t xml:space="preserve">12G </w:t>
            </w:r>
            <w:r>
              <w:rPr>
                <w:rFonts w:hint="eastAsia" w:ascii="宋体" w:hAnsi="宋体"/>
                <w:color w:val="000000"/>
                <w:szCs w:val="21"/>
              </w:rPr>
              <w:t>SSD硬盘</w:t>
            </w:r>
          </w:p>
        </w:tc>
        <w:tc>
          <w:tcPr>
            <w:tcW w:w="1266" w:type="pct"/>
            <w:noWrap w:val="0"/>
            <w:vAlign w:val="center"/>
          </w:tcPr>
          <w:p>
            <w:pPr>
              <w:widowControl/>
              <w:adjustRightInd w:val="0"/>
              <w:snapToGrid w:val="0"/>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06" w:type="pct"/>
            <w:noWrap w:val="0"/>
            <w:vAlign w:val="center"/>
          </w:tcPr>
          <w:p>
            <w:pPr>
              <w:widowControl/>
              <w:adjustRightInd w:val="0"/>
              <w:snapToGrid w:val="0"/>
              <w:spacing w:line="360" w:lineRule="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w:t>
            </w:r>
          </w:p>
        </w:tc>
        <w:tc>
          <w:tcPr>
            <w:tcW w:w="1076" w:type="pct"/>
            <w:noWrap w:val="0"/>
            <w:vAlign w:val="center"/>
          </w:tcPr>
          <w:p>
            <w:pPr>
              <w:widowControl/>
              <w:adjustRightInd w:val="0"/>
              <w:snapToGrid w:val="0"/>
              <w:spacing w:line="360" w:lineRule="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PDA</w:t>
            </w:r>
          </w:p>
        </w:tc>
        <w:tc>
          <w:tcPr>
            <w:tcW w:w="2152" w:type="pct"/>
            <w:noWrap w:val="0"/>
            <w:vAlign w:val="center"/>
          </w:tcPr>
          <w:p>
            <w:pPr>
              <w:widowControl/>
              <w:adjustRightInd w:val="0"/>
              <w:snapToGrid w:val="0"/>
              <w:spacing w:line="360" w:lineRule="auto"/>
              <w:rPr>
                <w:rFonts w:hint="default" w:ascii="宋体" w:hAnsi="宋体"/>
                <w:color w:val="000000"/>
                <w:szCs w:val="21"/>
                <w:lang w:val="en-US" w:eastAsia="zh-CN"/>
              </w:rPr>
            </w:pPr>
            <w:r>
              <w:rPr>
                <w:rFonts w:hint="eastAsia" w:ascii="宋体" w:hAnsi="宋体"/>
                <w:color w:val="000000"/>
                <w:szCs w:val="21"/>
                <w:lang w:val="en-US" w:eastAsia="zh-CN"/>
              </w:rPr>
              <w:t>得实</w:t>
            </w:r>
          </w:p>
        </w:tc>
        <w:tc>
          <w:tcPr>
            <w:tcW w:w="1266" w:type="pct"/>
            <w:noWrap w:val="0"/>
            <w:vAlign w:val="center"/>
          </w:tcPr>
          <w:p>
            <w:pPr>
              <w:widowControl/>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06" w:type="pct"/>
            <w:noWrap w:val="0"/>
            <w:vAlign w:val="center"/>
          </w:tcPr>
          <w:p>
            <w:pPr>
              <w:widowControl/>
              <w:adjustRightInd w:val="0"/>
              <w:snapToGrid w:val="0"/>
              <w:spacing w:line="360" w:lineRule="auto"/>
              <w:rPr>
                <w:rFonts w:hint="eastAsia" w:ascii="宋体" w:hAnsi="宋体" w:eastAsia="宋体" w:cs="宋体"/>
                <w:color w:val="000000"/>
                <w:szCs w:val="21"/>
                <w:lang w:eastAsia="zh-CN"/>
              </w:rPr>
            </w:pPr>
            <w:r>
              <w:rPr>
                <w:rFonts w:hint="eastAsia" w:ascii="宋体" w:hAnsi="宋体" w:cs="宋体"/>
                <w:color w:val="000000"/>
                <w:szCs w:val="21"/>
                <w:lang w:val="en-US" w:eastAsia="zh-CN"/>
              </w:rPr>
              <w:t>7</w:t>
            </w:r>
          </w:p>
        </w:tc>
        <w:tc>
          <w:tcPr>
            <w:tcW w:w="1076" w:type="pct"/>
            <w:noWrap w:val="0"/>
            <w:vAlign w:val="center"/>
          </w:tcPr>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其他备品备件</w:t>
            </w:r>
          </w:p>
        </w:tc>
        <w:tc>
          <w:tcPr>
            <w:tcW w:w="2152" w:type="pct"/>
            <w:noWrap w:val="0"/>
            <w:vAlign w:val="center"/>
          </w:tcPr>
          <w:p>
            <w:pPr>
              <w:widowControl/>
              <w:adjustRightInd w:val="0"/>
              <w:snapToGrid w:val="0"/>
              <w:spacing w:line="360" w:lineRule="auto"/>
              <w:rPr>
                <w:rFonts w:ascii="宋体" w:hAnsi="宋体"/>
                <w:color w:val="000000"/>
                <w:szCs w:val="21"/>
              </w:rPr>
            </w:pPr>
          </w:p>
        </w:tc>
        <w:tc>
          <w:tcPr>
            <w:tcW w:w="1266" w:type="pct"/>
            <w:noWrap w:val="0"/>
            <w:vAlign w:val="center"/>
          </w:tcPr>
          <w:p>
            <w:pPr>
              <w:widowControl/>
              <w:adjustRightInd w:val="0"/>
              <w:snapToGrid w:val="0"/>
              <w:spacing w:line="360" w:lineRule="auto"/>
              <w:rPr>
                <w:rFonts w:ascii="宋体" w:hAnsi="宋体" w:cs="宋体"/>
                <w:color w:val="000000"/>
                <w:szCs w:val="21"/>
              </w:rPr>
            </w:pPr>
          </w:p>
        </w:tc>
      </w:tr>
    </w:tbl>
    <w:p>
      <w:pPr>
        <w:spacing w:line="360" w:lineRule="auto"/>
        <w:rPr>
          <w:rFonts w:ascii="宋体" w:hAnsi="宋体" w:cs="宋体"/>
          <w:bCs/>
          <w:color w:val="000000"/>
          <w:szCs w:val="21"/>
        </w:rPr>
      </w:pPr>
      <w:r>
        <w:rPr>
          <w:rFonts w:hint="eastAsia" w:ascii="宋体" w:hAnsi="宋体" w:cs="宋体"/>
          <w:bCs/>
          <w:color w:val="000000"/>
          <w:szCs w:val="21"/>
        </w:rPr>
        <w:t>注：1、以上备机根据院方要求存放在院区指定地点，随时备查</w:t>
      </w:r>
    </w:p>
    <w:p>
      <w:pPr>
        <w:spacing w:line="360" w:lineRule="auto"/>
        <w:ind w:firstLine="411" w:firstLineChars="196"/>
        <w:rPr>
          <w:rFonts w:ascii="宋体" w:hAnsi="宋体" w:cs="宋体"/>
          <w:bCs/>
          <w:color w:val="000000"/>
          <w:szCs w:val="21"/>
        </w:rPr>
      </w:pPr>
      <w:r>
        <w:rPr>
          <w:rFonts w:hint="eastAsia" w:ascii="宋体" w:hAnsi="宋体" w:cs="宋体"/>
          <w:bCs/>
          <w:color w:val="000000"/>
          <w:szCs w:val="21"/>
        </w:rPr>
        <w:t>2、停产机型，需提供品牌同级别替代机型。</w:t>
      </w:r>
    </w:p>
    <w:p>
      <w:pPr>
        <w:adjustRightInd w:val="0"/>
        <w:snapToGrid w:val="0"/>
        <w:spacing w:line="360" w:lineRule="auto"/>
        <w:rPr>
          <w:rFonts w:ascii="宋体" w:hAnsi="宋体" w:cs="宋体"/>
          <w:kern w:val="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B5AC8"/>
    <w:multiLevelType w:val="multilevel"/>
    <w:tmpl w:val="062B5AC8"/>
    <w:lvl w:ilvl="0" w:tentative="0">
      <w:start w:val="1"/>
      <w:numFmt w:val="decimal"/>
      <w:lvlText w:val="%1)"/>
      <w:lvlJc w:val="left"/>
      <w:pPr>
        <w:ind w:left="900" w:hanging="480"/>
      </w:pPr>
      <w:rPr>
        <w:rFonts w:hint="default" w:cs="Times New Roman"/>
      </w:rPr>
    </w:lvl>
    <w:lvl w:ilvl="1" w:tentative="0">
      <w:start w:val="1"/>
      <w:numFmt w:val="decimal"/>
      <w:lvlText w:val="%2)"/>
      <w:lvlJc w:val="left"/>
      <w:pPr>
        <w:ind w:left="1380" w:hanging="480"/>
      </w:pPr>
      <w:rPr>
        <w:rFonts w:hint="default" w:cs="Times New Roman"/>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1">
    <w:nsid w:val="3CBC4669"/>
    <w:multiLevelType w:val="multilevel"/>
    <w:tmpl w:val="3CBC4669"/>
    <w:lvl w:ilvl="0" w:tentative="0">
      <w:start w:val="1"/>
      <w:numFmt w:val="decimal"/>
      <w:lvlText w:val="%1)"/>
      <w:lvlJc w:val="left"/>
      <w:pPr>
        <w:ind w:left="420" w:hanging="420"/>
      </w:p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YTdlNDllZWU5MWMxN2ZiODNmMTA3OTkyODA2ZGYifQ=="/>
  </w:docVars>
  <w:rsids>
    <w:rsidRoot w:val="676B2D18"/>
    <w:rsid w:val="006E5FED"/>
    <w:rsid w:val="03B46F77"/>
    <w:rsid w:val="03D326C8"/>
    <w:rsid w:val="09B61880"/>
    <w:rsid w:val="0D13317B"/>
    <w:rsid w:val="134E5764"/>
    <w:rsid w:val="13B228A4"/>
    <w:rsid w:val="173469F9"/>
    <w:rsid w:val="20300810"/>
    <w:rsid w:val="20AA60A4"/>
    <w:rsid w:val="23644CC3"/>
    <w:rsid w:val="242D52D1"/>
    <w:rsid w:val="2549584E"/>
    <w:rsid w:val="277B161B"/>
    <w:rsid w:val="2A020843"/>
    <w:rsid w:val="2C336DFA"/>
    <w:rsid w:val="2DCF174B"/>
    <w:rsid w:val="31B859B9"/>
    <w:rsid w:val="323A3E19"/>
    <w:rsid w:val="3AB62D82"/>
    <w:rsid w:val="3B7D5699"/>
    <w:rsid w:val="3C3D10AD"/>
    <w:rsid w:val="3D6D2707"/>
    <w:rsid w:val="3ED95232"/>
    <w:rsid w:val="3FE11BED"/>
    <w:rsid w:val="4244741C"/>
    <w:rsid w:val="49834FDD"/>
    <w:rsid w:val="4C3B3017"/>
    <w:rsid w:val="4E073318"/>
    <w:rsid w:val="50411D74"/>
    <w:rsid w:val="54CF7667"/>
    <w:rsid w:val="554C3B9F"/>
    <w:rsid w:val="5AE16AAD"/>
    <w:rsid w:val="5E096B1C"/>
    <w:rsid w:val="613F6BBA"/>
    <w:rsid w:val="61564577"/>
    <w:rsid w:val="61843036"/>
    <w:rsid w:val="633D5E3F"/>
    <w:rsid w:val="671D1233"/>
    <w:rsid w:val="676B2D18"/>
    <w:rsid w:val="6A8147A2"/>
    <w:rsid w:val="6D96138B"/>
    <w:rsid w:val="70310109"/>
    <w:rsid w:val="74616E23"/>
    <w:rsid w:val="74F147B4"/>
    <w:rsid w:val="75791E18"/>
    <w:rsid w:val="75E56060"/>
    <w:rsid w:val="77F615A9"/>
    <w:rsid w:val="7B735A7A"/>
    <w:rsid w:val="7BD177DB"/>
    <w:rsid w:val="7E4773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kern w:val="0"/>
      <w:sz w:val="32"/>
      <w:szCs w:val="32"/>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eastAsia="宋体" w:cs="Times New Roman"/>
      <w:szCs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lain Text"/>
    <w:basedOn w:val="9"/>
    <w:qFormat/>
    <w:uiPriority w:val="0"/>
    <w:pPr>
      <w:widowControl/>
      <w:jc w:val="left"/>
    </w:pPr>
    <w:rPr>
      <w:rFonts w:ascii="宋体" w:hAnsi="Courier New"/>
    </w:rPr>
  </w:style>
  <w:style w:type="paragraph" w:customStyle="1" w:styleId="9">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7054</Words>
  <Characters>8042</Characters>
  <Lines>0</Lines>
  <Paragraphs>0</Paragraphs>
  <TotalTime>0</TotalTime>
  <ScaleCrop>false</ScaleCrop>
  <LinksUpToDate>false</LinksUpToDate>
  <CharactersWithSpaces>8280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2023-09-11T06:07:00Z</dcterms:created>
  <dc:creator>WPS_1671506021</dc:creator>
  <cp:lastModifiedBy>WPS_1654673419</cp:lastModifiedBy>
  <dcterms:modified xsi:type="dcterms:W3CDTF">2023-10-10T08:30:16Z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EEB9FF9546B744B4BA202DFB4F35849B_13</vt:lpwstr>
  </property>
</Properties>
</file>