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pStyle w:val="2"/>
      </w:pPr>
    </w:p>
    <w:p>
      <w:pPr>
        <w:pStyle w:val="2"/>
      </w:pPr>
    </w:p>
    <w:p>
      <w:pPr>
        <w:spacing w:before="120" w:beforeLines="50" w:after="120" w:afterLines="50" w:line="360" w:lineRule="auto"/>
        <w:ind w:left="0" w:leftChars="0" w:firstLine="373" w:firstLineChars="116"/>
        <w:rPr>
          <w:rFonts w:hint="eastAsia" w:ascii="宋体" w:hAnsi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/>
          <w:b/>
          <w:bCs/>
          <w:sz w:val="32"/>
          <w:szCs w:val="32"/>
          <w:lang w:val="en-US" w:eastAsia="zh-CN"/>
        </w:rPr>
        <w:t>全能强效多酶清洗剂参数：</w:t>
      </w:r>
    </w:p>
    <w:p>
      <w:pPr>
        <w:spacing w:before="120" w:beforeLines="50" w:after="120" w:afterLines="50" w:line="360" w:lineRule="auto"/>
        <w:ind w:left="0" w:leftChars="0" w:firstLine="324" w:firstLineChars="116"/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</w:pPr>
      <w:bookmarkStart w:id="0" w:name="_Hlk517616777"/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1.产品组成：蛋白酶、脂肪酶、淀粉酶、纤维素酶、果胶酶、表面活性剂、缓蚀剂等，至少含5种以上生物酶。</w:t>
      </w:r>
    </w:p>
    <w:p>
      <w:pPr>
        <w:spacing w:before="120" w:beforeLines="50" w:after="120" w:afterLines="50" w:line="360" w:lineRule="auto"/>
        <w:ind w:left="0" w:leftChars="0" w:firstLine="324" w:firstLineChars="116"/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2.适用于各类器械的预清洗、手工清洗、超声清洗以及全自动清洗机清洗。</w:t>
      </w:r>
    </w:p>
    <w:p>
      <w:pPr>
        <w:spacing w:before="120" w:beforeLines="50" w:after="120" w:afterLines="50" w:line="360" w:lineRule="auto"/>
        <w:ind w:left="0" w:leftChars="0" w:firstLine="324" w:firstLineChars="116"/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 xml:space="preserve">3.稀释比例：手洗应≥1:200，机洗应≥1:400。 </w:t>
      </w:r>
    </w:p>
    <w:p>
      <w:pPr>
        <w:spacing w:before="120" w:beforeLines="50" w:after="120" w:afterLines="50" w:line="360" w:lineRule="auto"/>
        <w:ind w:left="0" w:leftChars="0" w:firstLine="324" w:firstLineChars="116"/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4.产品符合«T/WSJD002-2019 医用清洗剂卫生要求»中清洗效果的要求：</w:t>
      </w:r>
    </w:p>
    <w:p>
      <w:pPr>
        <w:spacing w:before="120" w:beforeLines="50" w:after="120" w:afterLines="50" w:line="360" w:lineRule="auto"/>
        <w:ind w:left="0" w:leftChars="0" w:firstLine="324" w:firstLineChars="116"/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a）对细菌的去除率应大于等于99%；且ATP含量下降率应大于等于99%，应符合团标要求，并提供第三方检测报告。</w:t>
      </w:r>
    </w:p>
    <w:p>
      <w:pPr>
        <w:spacing w:before="120" w:beforeLines="50" w:after="120" w:afterLines="50" w:line="360" w:lineRule="auto"/>
        <w:ind w:left="0" w:leftChars="0" w:firstLine="324" w:firstLineChars="116"/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b）对人工模拟污染物的去除率大于等于95%，应符合去除要求，并提供第三方检测报告。</w:t>
      </w:r>
    </w:p>
    <w:p>
      <w:pPr>
        <w:spacing w:before="120" w:beforeLines="50" w:after="120" w:afterLines="50" w:line="360" w:lineRule="auto"/>
        <w:ind w:left="0" w:leftChars="0" w:firstLine="324" w:firstLineChars="116"/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c)对模拟污染物中蛋白的去除率大于等于90%；对模拟污染物中淀粉的去除率应大于等于60%；对模拟污染物中脂肪的去除率应大于等于60%，应符合去除要求，并提供第三方检测报告。</w:t>
      </w:r>
    </w:p>
    <w:p>
      <w:pPr>
        <w:spacing w:before="120" w:beforeLines="50" w:after="120" w:afterLines="50" w:line="360" w:lineRule="auto"/>
        <w:ind w:left="0" w:leftChars="0" w:firstLine="324" w:firstLineChars="116"/>
        <w:rPr>
          <w:rFonts w:hint="default" w:ascii="仿宋" w:hAnsi="仿宋" w:eastAsia="仿宋" w:cs="仿宋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d)细菌菌落总数限值为100CFU/ml,不得含有致病菌。</w:t>
      </w:r>
    </w:p>
    <w:p>
      <w:pPr>
        <w:spacing w:before="120" w:beforeLines="50" w:after="120" w:afterLines="50" w:line="360" w:lineRule="auto"/>
        <w:ind w:left="0" w:leftChars="0" w:firstLine="324" w:firstLineChars="116"/>
        <w:rPr>
          <w:rFonts w:hint="default" w:ascii="仿宋" w:hAnsi="仿宋" w:eastAsia="仿宋" w:cs="仿宋"/>
          <w:sz w:val="28"/>
          <w:szCs w:val="28"/>
          <w:highlight w:val="none"/>
          <w:lang w:val="en-US" w:eastAsia="zh-CN"/>
        </w:rPr>
      </w:pPr>
    </w:p>
    <w:p>
      <w:pPr>
        <w:spacing w:before="120" w:beforeLines="50" w:after="120" w:afterLines="50" w:line="360" w:lineRule="auto"/>
        <w:ind w:left="0" w:leftChars="0" w:firstLine="324" w:firstLineChars="116"/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5.对不锈钢、铜、铝、碳钢等各种器械材质的腐蚀级别均为基本无腐蚀，并提供第三方检测报告。</w:t>
      </w:r>
    </w:p>
    <w:p>
      <w:pPr>
        <w:spacing w:before="120" w:beforeLines="50" w:after="120" w:afterLines="50" w:line="360" w:lineRule="auto"/>
        <w:ind w:left="0" w:leftChars="0" w:firstLine="324" w:firstLineChars="116"/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6.低泡型清洗剂、易漂洗，无残留。</w:t>
      </w:r>
    </w:p>
    <w:p>
      <w:pPr>
        <w:spacing w:before="120" w:beforeLines="50" w:after="120" w:afterLines="50" w:line="360" w:lineRule="auto"/>
        <w:ind w:left="0" w:leftChars="0" w:firstLine="324" w:firstLineChars="116"/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7.有效期至少为2年。</w:t>
      </w:r>
    </w:p>
    <w:p>
      <w:pPr>
        <w:spacing w:before="120" w:beforeLines="50" w:after="120" w:afterLines="50" w:line="360" w:lineRule="auto"/>
        <w:ind w:left="0" w:leftChars="0" w:firstLine="324" w:firstLineChars="116"/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8.</w:t>
      </w:r>
      <w:r>
        <w:rPr>
          <w:rFonts w:hint="default" w:ascii="仿宋" w:hAnsi="仿宋" w:eastAsia="仿宋" w:cs="仿宋"/>
          <w:sz w:val="28"/>
          <w:szCs w:val="28"/>
          <w:highlight w:val="none"/>
          <w:lang w:val="en-US" w:eastAsia="zh-CN"/>
        </w:rPr>
        <w:t>PH值：</w:t>
      </w: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6</w:t>
      </w:r>
      <w:r>
        <w:rPr>
          <w:rFonts w:hint="default" w:ascii="仿宋" w:hAnsi="仿宋" w:eastAsia="仿宋" w:cs="仿宋"/>
          <w:sz w:val="28"/>
          <w:szCs w:val="28"/>
          <w:highlight w:val="none"/>
          <w:lang w:val="en-US" w:eastAsia="zh-CN"/>
        </w:rPr>
        <w:t>.</w:t>
      </w: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5</w:t>
      </w:r>
      <w:r>
        <w:rPr>
          <w:rFonts w:hint="default" w:ascii="仿宋" w:hAnsi="仿宋" w:eastAsia="仿宋" w:cs="仿宋"/>
          <w:sz w:val="28"/>
          <w:szCs w:val="28"/>
          <w:highlight w:val="none"/>
          <w:lang w:val="en-US" w:eastAsia="zh-CN"/>
        </w:rPr>
        <w:t>-</w:t>
      </w: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7</w:t>
      </w:r>
      <w:r>
        <w:rPr>
          <w:rFonts w:hint="default" w:ascii="仿宋" w:hAnsi="仿宋" w:eastAsia="仿宋" w:cs="仿宋"/>
          <w:sz w:val="28"/>
          <w:szCs w:val="28"/>
          <w:highlight w:val="none"/>
          <w:lang w:val="en-US" w:eastAsia="zh-CN"/>
        </w:rPr>
        <w:t>.</w:t>
      </w: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5之间的清洗剂</w:t>
      </w:r>
    </w:p>
    <w:p>
      <w:pPr>
        <w:spacing w:before="120" w:beforeLines="50" w:after="120" w:afterLines="50" w:line="360" w:lineRule="auto"/>
        <w:ind w:left="0" w:leftChars="0" w:firstLine="373" w:firstLineChars="116"/>
        <w:rPr>
          <w:rFonts w:hint="eastAsia" w:ascii="宋体" w:hAnsi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/>
          <w:b/>
          <w:bCs/>
          <w:sz w:val="32"/>
          <w:szCs w:val="32"/>
          <w:lang w:val="en-US" w:eastAsia="zh-CN"/>
        </w:rPr>
        <w:t>器械润滑油</w:t>
      </w:r>
    </w:p>
    <w:p>
      <w:pPr>
        <w:spacing w:before="120" w:beforeLines="50" w:after="120" w:afterLines="50" w:line="360" w:lineRule="auto"/>
        <w:ind w:left="0" w:leftChars="0" w:firstLine="324" w:firstLineChars="116"/>
        <w:rPr>
          <w:rFonts w:hint="eastAsia" w:ascii="宋体" w:hAnsi="宋体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具有良好的水溶性特征，无沉淀物，与人体具有良好相容性，能经受高压灭菌锅的高温且不会粘稠，不影响灭菌过程中各种灭菌因子的穿透，防止锈蚀、点蚀的产生，保持器械锁扣及关节的灵活性，延长器械使用寿命，提高工作效率。</w:t>
      </w:r>
    </w:p>
    <w:p>
      <w:pPr>
        <w:pStyle w:val="2"/>
        <w:ind w:firstLine="321" w:firstLineChars="100"/>
        <w:rPr>
          <w:rFonts w:hint="default" w:ascii="仿宋" w:hAnsi="仿宋" w:eastAsia="仿宋" w:cs="仿宋"/>
          <w:b/>
          <w:bCs/>
          <w:color w:val="auto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="宋体" w:hAnsi="宋体" w:eastAsia="宋体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>提供以下资料：</w:t>
      </w:r>
    </w:p>
    <w:p>
      <w:pPr>
        <w:pStyle w:val="2"/>
        <w:numPr>
          <w:ilvl w:val="0"/>
          <w:numId w:val="1"/>
        </w:numPr>
        <w:rPr>
          <w:rFonts w:hint="eastAsia" w:ascii="仿宋" w:hAnsi="仿宋" w:eastAsia="仿宋" w:cs="仿宋"/>
          <w:color w:val="auto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28"/>
          <w:szCs w:val="28"/>
          <w:highlight w:val="none"/>
          <w:lang w:val="en-US" w:eastAsia="zh-CN" w:bidi="ar-SA"/>
        </w:rPr>
        <w:t>产品性能参数响应情况</w:t>
      </w:r>
    </w:p>
    <w:p>
      <w:pPr>
        <w:pStyle w:val="2"/>
        <w:numPr>
          <w:ilvl w:val="0"/>
          <w:numId w:val="1"/>
        </w:numPr>
        <w:rPr>
          <w:rFonts w:hint="eastAsia" w:ascii="仿宋" w:hAnsi="仿宋" w:eastAsia="仿宋" w:cs="仿宋"/>
          <w:color w:val="auto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28"/>
          <w:szCs w:val="28"/>
          <w:highlight w:val="none"/>
          <w:lang w:val="en-US" w:eastAsia="zh-CN" w:bidi="ar-SA"/>
        </w:rPr>
        <w:t>市场普及率，在各医院的使用情况（合同或者发票）</w:t>
      </w:r>
    </w:p>
    <w:p>
      <w:pPr>
        <w:pStyle w:val="2"/>
        <w:numPr>
          <w:ilvl w:val="0"/>
          <w:numId w:val="1"/>
        </w:numPr>
        <w:rPr>
          <w:rFonts w:hint="eastAsia" w:ascii="仿宋" w:hAnsi="仿宋" w:eastAsia="仿宋" w:cs="仿宋"/>
          <w:color w:val="auto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28"/>
          <w:szCs w:val="28"/>
          <w:highlight w:val="none"/>
          <w:lang w:val="en-US" w:eastAsia="zh-CN" w:bidi="ar-SA"/>
        </w:rPr>
        <w:t>整体供货方案、质量保证措施、验收方案及售后服务方案</w:t>
      </w:r>
    </w:p>
    <w:p>
      <w:pPr>
        <w:pStyle w:val="2"/>
        <w:numPr>
          <w:ilvl w:val="0"/>
          <w:numId w:val="1"/>
        </w:numPr>
        <w:rPr>
          <w:rFonts w:hint="eastAsia" w:ascii="仿宋" w:hAnsi="仿宋" w:eastAsia="仿宋" w:cs="仿宋"/>
          <w:sz w:val="21"/>
          <w:szCs w:val="21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kern w:val="2"/>
          <w:sz w:val="28"/>
          <w:szCs w:val="28"/>
          <w:highlight w:val="none"/>
          <w:lang w:val="en-US" w:eastAsia="zh-CN" w:bidi="ar-SA"/>
        </w:rPr>
        <w:t>产品报价</w:t>
      </w:r>
    </w:p>
    <w:p>
      <w:pPr>
        <w:spacing w:before="120" w:beforeLines="50" w:after="120" w:afterLines="50" w:line="360" w:lineRule="auto"/>
        <w:ind w:left="0" w:leftChars="0" w:firstLine="373" w:firstLineChars="116"/>
        <w:rPr>
          <w:rFonts w:hint="eastAsia" w:ascii="宋体" w:hAnsi="宋体"/>
          <w:b/>
          <w:bCs/>
          <w:sz w:val="32"/>
          <w:szCs w:val="32"/>
          <w:lang w:val="en-US" w:eastAsia="zh-CN"/>
        </w:rPr>
      </w:pPr>
      <w:bookmarkStart w:id="1" w:name="_GoBack"/>
      <w:bookmarkEnd w:id="1"/>
    </w:p>
    <w:p>
      <w:pPr>
        <w:spacing w:before="120" w:beforeLines="50" w:after="120" w:afterLines="50" w:line="360" w:lineRule="auto"/>
        <w:ind w:left="0" w:leftChars="0" w:firstLine="373" w:firstLineChars="116"/>
        <w:rPr>
          <w:rFonts w:hint="eastAsia" w:ascii="宋体" w:hAnsi="宋体"/>
          <w:b/>
          <w:bCs/>
          <w:sz w:val="32"/>
          <w:szCs w:val="32"/>
          <w:lang w:val="en-US" w:eastAsia="zh-CN"/>
        </w:rPr>
      </w:pPr>
    </w:p>
    <w:p>
      <w:pPr>
        <w:spacing w:before="120" w:beforeLines="50" w:after="120" w:afterLines="50" w:line="360" w:lineRule="auto"/>
        <w:ind w:left="0" w:leftChars="0" w:firstLine="373" w:firstLineChars="116"/>
        <w:rPr>
          <w:rFonts w:hint="eastAsia" w:ascii="宋体" w:hAnsi="宋体"/>
          <w:b/>
          <w:bCs/>
          <w:sz w:val="32"/>
          <w:szCs w:val="32"/>
          <w:lang w:val="en-US" w:eastAsia="zh-CN"/>
        </w:rPr>
      </w:pPr>
    </w:p>
    <w:p>
      <w:pPr>
        <w:spacing w:before="120" w:beforeLines="50" w:after="120" w:afterLines="50" w:line="360" w:lineRule="auto"/>
        <w:ind w:left="0" w:leftChars="0" w:firstLine="373" w:firstLineChars="116"/>
        <w:rPr>
          <w:rFonts w:hint="eastAsia" w:ascii="宋体" w:hAnsi="宋体"/>
          <w:b/>
          <w:bCs/>
          <w:sz w:val="32"/>
          <w:szCs w:val="32"/>
          <w:lang w:val="en-US" w:eastAsia="zh-CN"/>
        </w:rPr>
      </w:pPr>
    </w:p>
    <w:bookmarkEnd w:id="0"/>
    <w:p>
      <w:pPr>
        <w:pStyle w:val="2"/>
        <w:numPr>
          <w:numId w:val="0"/>
        </w:numPr>
        <w:rPr>
          <w:rFonts w:hint="eastAsia" w:ascii="仿宋" w:hAnsi="仿宋" w:eastAsia="仿宋" w:cs="仿宋"/>
          <w:sz w:val="21"/>
          <w:szCs w:val="21"/>
          <w:highlight w:val="non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FE48D43"/>
    <w:multiLevelType w:val="singleLevel"/>
    <w:tmpl w:val="5FE48D43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UxMTg5MzFmZGRkZDFmMmUzOGIyODQ0MTg2ZDM4OTQifQ=="/>
  </w:docVars>
  <w:rsids>
    <w:rsidRoot w:val="00000000"/>
    <w:rsid w:val="07980E08"/>
    <w:rsid w:val="07C843AC"/>
    <w:rsid w:val="081E4E58"/>
    <w:rsid w:val="52862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Times New Roman" w:eastAsia="仿宋_GB2312" w:cs="仿宋_GB2312"/>
      <w:color w:val="000000"/>
      <w:sz w:val="24"/>
      <w:szCs w:val="24"/>
      <w:lang w:val="en-US" w:eastAsia="zh-CN" w:bidi="ar-SA"/>
    </w:rPr>
  </w:style>
  <w:style w:type="paragraph" w:styleId="3">
    <w:name w:val="Plain Text"/>
    <w:basedOn w:val="1"/>
    <w:qFormat/>
    <w:uiPriority w:val="0"/>
    <w:pPr>
      <w:widowControl/>
      <w:spacing w:before="120" w:beforeLines="0" w:after="120" w:afterLines="0" w:line="240" w:lineRule="atLeast"/>
    </w:pPr>
    <w:rPr>
      <w:rFonts w:ascii="宋体" w:hAnsi="Courier New" w:eastAsia="宋体"/>
      <w:sz w:val="2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783</Words>
  <Characters>850</Characters>
  <Lines>0</Lines>
  <Paragraphs>0</Paragraphs>
  <TotalTime>0</TotalTime>
  <ScaleCrop>false</ScaleCrop>
  <LinksUpToDate>false</LinksUpToDate>
  <CharactersWithSpaces>852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2022-09-14T03:19:00Z</dcterms:created>
  <dc:creator>Administrator</dc:creator>
  <cp:lastModifiedBy>Yuss</cp:lastModifiedBy>
  <dcterms:modified xsi:type="dcterms:W3CDTF">2022-09-15T06:46:31Z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3D57D747825E414586409C41AE9141C2</vt:lpwstr>
  </property>
</Properties>
</file>