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浙江省肿瘤医院2号楼病房弱电间新增电源线路项目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20" w:hangingChars="100"/>
        <w:jc w:val="center"/>
        <w:textAlignment w:val="auto"/>
        <w:outlineLvl w:val="9"/>
        <w:rPr>
          <w:rFonts w:hint="eastAsia" w:ascii="华文细黑" w:hAnsi="华文细黑" w:eastAsia="华文细黑" w:cs="华文细黑"/>
          <w:color w:val="auto"/>
          <w:sz w:val="32"/>
          <w:szCs w:val="32"/>
          <w:lang w:val="en-US" w:eastAsia="zh-CN"/>
        </w:rPr>
      </w:pPr>
      <w:r>
        <w:rPr>
          <w:rFonts w:hint="eastAsia" w:ascii="华文细黑" w:hAnsi="华文细黑" w:eastAsia="华文细黑" w:cs="华文细黑"/>
          <w:b/>
          <w:bCs/>
          <w:sz w:val="32"/>
          <w:szCs w:val="32"/>
          <w:lang w:val="zh-CN"/>
        </w:rPr>
        <w:t>浙江省肿瘤医院2号楼病房弱电间新增电源线路项目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为满足2号楼病房弱电间电缆扩容需求，</w:t>
      </w:r>
      <w:r>
        <w:rPr>
          <w:rFonts w:hint="eastAsia" w:ascii="华文细黑" w:hAnsi="华文细黑" w:eastAsia="华文细黑" w:cs="华文细黑"/>
          <w:color w:val="auto"/>
          <w:sz w:val="24"/>
          <w:szCs w:val="24"/>
        </w:rPr>
        <w:t>我院拟采取</w:t>
      </w:r>
      <w:r>
        <w:rPr>
          <w:rFonts w:hint="eastAsia" w:ascii="华文细黑" w:hAnsi="华文细黑" w:eastAsia="华文细黑" w:cs="华文细黑"/>
          <w:color w:val="auto"/>
          <w:sz w:val="24"/>
          <w:szCs w:val="24"/>
          <w:lang w:eastAsia="zh-CN"/>
        </w:rPr>
        <w:t>院内议价谈判</w:t>
      </w:r>
      <w:r>
        <w:rPr>
          <w:rFonts w:hint="eastAsia" w:ascii="华文细黑" w:hAnsi="华文细黑" w:eastAsia="华文细黑" w:cs="华文细黑"/>
          <w:color w:val="auto"/>
          <w:sz w:val="24"/>
          <w:szCs w:val="24"/>
        </w:rPr>
        <w:t>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zh-CN" w:eastAsia="zh-CN"/>
        </w:rPr>
        <w:t>2号楼病房弱电间新增电源线路项目</w:t>
      </w:r>
      <w:r>
        <w:rPr>
          <w:rFonts w:hint="eastAsia" w:ascii="华文细黑" w:hAnsi="华文细黑" w:eastAsia="华文细黑" w:cs="华文细黑"/>
          <w:color w:val="auto"/>
          <w:sz w:val="24"/>
          <w:szCs w:val="24"/>
          <w:lang w:val="en-US" w:eastAsia="zh-CN"/>
        </w:rPr>
        <w:t>采购</w:t>
      </w:r>
      <w:r>
        <w:rPr>
          <w:rFonts w:hint="eastAsia" w:ascii="华文细黑" w:hAnsi="华文细黑" w:eastAsia="华文细黑" w:cs="华文细黑"/>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2号楼病房弱电间新增电源线路项目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（1）所供货物、材料是全新的、未使用过的货物，同时应保证货物、材料的各项功能和技术指标达到投标文件和国家相关标准。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（2）本项目所有的电缆、电线、配电箱、空开及插座在正确安装、正常使用和保养条件下，在建筑物使用寿命内的正常使用和运行。本项目质保期不得少于24个月（含人工及配件维修）。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（3）供应商除提供货物外，还应随货物向院方提供交付货物的出厂合格证、质量检验报告、厂家营业执照复印件、生产许可证复印件、授权经销合同复印件等相关资料（复印件均需加盖供应单位红章）；</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货物（品牌、规格、厂家、产地）、服务名称、数量、单价及合同分项价格、总价：</w:t>
      </w:r>
    </w:p>
    <w:tbl>
      <w:tblPr>
        <w:tblStyle w:val="12"/>
        <w:tblW w:w="10545" w:type="dxa"/>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245"/>
        <w:gridCol w:w="1440"/>
        <w:gridCol w:w="2310"/>
        <w:gridCol w:w="885"/>
        <w:gridCol w:w="720"/>
        <w:gridCol w:w="1230"/>
        <w:gridCol w:w="126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5"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序号</w:t>
            </w:r>
          </w:p>
        </w:tc>
        <w:tc>
          <w:tcPr>
            <w:tcW w:w="1245"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材料名称</w:t>
            </w:r>
          </w:p>
        </w:tc>
        <w:tc>
          <w:tcPr>
            <w:tcW w:w="144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规格型号</w:t>
            </w:r>
          </w:p>
        </w:tc>
        <w:tc>
          <w:tcPr>
            <w:tcW w:w="231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参考品牌</w:t>
            </w:r>
          </w:p>
        </w:tc>
        <w:tc>
          <w:tcPr>
            <w:tcW w:w="885"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数量</w:t>
            </w:r>
          </w:p>
        </w:tc>
        <w:tc>
          <w:tcPr>
            <w:tcW w:w="72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单位</w:t>
            </w:r>
          </w:p>
        </w:tc>
        <w:tc>
          <w:tcPr>
            <w:tcW w:w="123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单价（元）</w:t>
            </w:r>
          </w:p>
        </w:tc>
        <w:tc>
          <w:tcPr>
            <w:tcW w:w="126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合价（元）</w:t>
            </w:r>
          </w:p>
        </w:tc>
        <w:tc>
          <w:tcPr>
            <w:tcW w:w="750" w:type="dxa"/>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电缆</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5x6㎡</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中策、万马、宝胜</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2000</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米</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2</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护套线</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3x4㎡</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中策、万马、宝胜</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500</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米</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3</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配电箱</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6回路</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正泰、德力西、鸿雁</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14</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套</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4</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空开</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2P</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正泰、德力西、鸿雁</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14</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套</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5</w:t>
            </w:r>
          </w:p>
        </w:tc>
        <w:tc>
          <w:tcPr>
            <w:tcW w:w="124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插座</w:t>
            </w:r>
          </w:p>
        </w:tc>
        <w:tc>
          <w:tcPr>
            <w:tcW w:w="14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10A</w:t>
            </w:r>
          </w:p>
        </w:tc>
        <w:tc>
          <w:tcPr>
            <w:tcW w:w="231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正泰、德力西、鸿雁</w:t>
            </w:r>
          </w:p>
        </w:tc>
        <w:tc>
          <w:tcPr>
            <w:tcW w:w="885"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default"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32</w:t>
            </w:r>
          </w:p>
        </w:tc>
        <w:tc>
          <w:tcPr>
            <w:tcW w:w="72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r>
              <w:rPr>
                <w:rFonts w:hint="eastAsia" w:ascii="华文细黑" w:hAnsi="华文细黑" w:eastAsia="华文细黑" w:cs="华文细黑"/>
                <w:b/>
                <w:bCs/>
                <w:color w:val="auto"/>
                <w:sz w:val="24"/>
                <w:szCs w:val="24"/>
                <w:vertAlign w:val="baseline"/>
                <w:lang w:val="en-US" w:eastAsia="zh-CN"/>
              </w:rPr>
              <w:t>套</w:t>
            </w:r>
          </w:p>
        </w:tc>
        <w:tc>
          <w:tcPr>
            <w:tcW w:w="123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126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c>
          <w:tcPr>
            <w:tcW w:w="75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45" w:type="dxa"/>
            <w:gridSpan w:val="9"/>
          </w:tcPr>
          <w:p>
            <w:pPr>
              <w:autoSpaceDE w:val="0"/>
              <w:autoSpaceDN w:val="0"/>
              <w:adjustRightInd w:val="0"/>
              <w:spacing w:line="400" w:lineRule="exact"/>
              <w:jc w:val="center"/>
              <w:rPr>
                <w:rFonts w:hint="eastAsia" w:ascii="华文细黑" w:hAnsi="华文细黑" w:eastAsia="华文细黑" w:cs="华文细黑"/>
                <w:b w:val="0"/>
                <w:bCs w:val="0"/>
                <w:color w:val="auto"/>
                <w:kern w:val="2"/>
                <w:sz w:val="24"/>
                <w:szCs w:val="24"/>
                <w:vertAlign w:val="baseline"/>
                <w:lang w:val="en-US" w:eastAsia="zh-CN"/>
              </w:rPr>
            </w:pPr>
            <w:r>
              <w:rPr>
                <w:rFonts w:hint="eastAsia" w:ascii="华文细黑" w:hAnsi="华文细黑" w:eastAsia="华文细黑" w:cs="华文细黑"/>
                <w:b/>
                <w:bCs/>
                <w:color w:val="auto"/>
                <w:kern w:val="2"/>
                <w:sz w:val="24"/>
                <w:szCs w:val="24"/>
                <w:vertAlign w:val="baseline"/>
                <w:lang w:val="en-US" w:eastAsia="zh-CN"/>
              </w:rPr>
              <w:t>投标总价</w:t>
            </w:r>
            <w:r>
              <w:rPr>
                <w:rFonts w:hint="eastAsia" w:ascii="华文细黑" w:hAnsi="华文细黑" w:eastAsia="华文细黑" w:cs="华文细黑"/>
                <w:b w:val="0"/>
                <w:bCs w:val="0"/>
                <w:color w:val="auto"/>
                <w:kern w:val="2"/>
                <w:sz w:val="24"/>
                <w:szCs w:val="24"/>
                <w:vertAlign w:val="baseline"/>
                <w:lang w:val="en-US" w:eastAsia="zh-CN"/>
              </w:rPr>
              <w:t>（人民币大写）人民币</w:t>
            </w:r>
            <w:r>
              <w:rPr>
                <w:rFonts w:hint="eastAsia" w:ascii="华文细黑" w:hAnsi="华文细黑" w:eastAsia="华文细黑" w:cs="华文细黑"/>
                <w:b w:val="0"/>
                <w:bCs w:val="0"/>
                <w:color w:val="auto"/>
                <w:kern w:val="2"/>
                <w:sz w:val="24"/>
                <w:szCs w:val="24"/>
                <w:u w:val="single"/>
                <w:vertAlign w:val="baseline"/>
                <w:lang w:val="en-US" w:eastAsia="zh-CN"/>
              </w:rPr>
              <w:t xml:space="preserve">          </w:t>
            </w:r>
            <w:r>
              <w:rPr>
                <w:rFonts w:hint="eastAsia" w:ascii="华文细黑" w:hAnsi="华文细黑" w:eastAsia="华文细黑" w:cs="华文细黑"/>
                <w:b w:val="0"/>
                <w:bCs w:val="0"/>
                <w:color w:val="auto"/>
                <w:kern w:val="2"/>
                <w:sz w:val="24"/>
                <w:szCs w:val="24"/>
                <w:vertAlign w:val="baseline"/>
                <w:lang w:val="en-US" w:eastAsia="zh-CN"/>
              </w:rPr>
              <w:t>元整</w:t>
            </w:r>
          </w:p>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华文细黑" w:hAnsi="华文细黑" w:eastAsia="华文细黑" w:cs="华文细黑"/>
                <w:b w:val="0"/>
                <w:bCs w:val="0"/>
                <w:color w:val="auto"/>
                <w:kern w:val="2"/>
                <w:sz w:val="24"/>
                <w:szCs w:val="24"/>
                <w:vertAlign w:val="baseline"/>
                <w:lang w:val="en-US" w:eastAsia="zh-CN"/>
              </w:rPr>
            </w:pPr>
            <w:r>
              <w:rPr>
                <w:rFonts w:hint="eastAsia" w:ascii="华文细黑" w:hAnsi="华文细黑" w:eastAsia="华文细黑" w:cs="华文细黑"/>
                <w:b w:val="0"/>
                <w:bCs w:val="0"/>
                <w:color w:val="auto"/>
                <w:kern w:val="2"/>
                <w:sz w:val="24"/>
                <w:szCs w:val="24"/>
                <w:vertAlign w:val="baseline"/>
                <w:lang w:val="en-US" w:eastAsia="zh-CN"/>
              </w:rPr>
              <w:t>（人民币小写）¥</w:t>
            </w:r>
            <w:r>
              <w:rPr>
                <w:rFonts w:hint="eastAsia" w:ascii="华文细黑" w:hAnsi="华文细黑" w:eastAsia="华文细黑" w:cs="华文细黑"/>
                <w:b w:val="0"/>
                <w:bCs w:val="0"/>
                <w:color w:val="auto"/>
                <w:kern w:val="2"/>
                <w:sz w:val="24"/>
                <w:szCs w:val="24"/>
                <w:u w:val="single"/>
                <w:vertAlign w:val="baseline"/>
                <w:lang w:val="en-US" w:eastAsia="zh-CN"/>
              </w:rPr>
              <w:t xml:space="preserve">       </w:t>
            </w:r>
            <w:r>
              <w:rPr>
                <w:rFonts w:hint="eastAsia" w:ascii="华文细黑" w:hAnsi="华文细黑" w:eastAsia="华文细黑" w:cs="华文细黑"/>
                <w:b w:val="0"/>
                <w:bCs w:val="0"/>
                <w:color w:val="auto"/>
                <w:kern w:val="2"/>
                <w:sz w:val="24"/>
                <w:szCs w:val="24"/>
                <w:vertAlign w:val="baseline"/>
                <w:lang w:val="en-US" w:eastAsia="zh-CN"/>
              </w:rPr>
              <w:t>元</w:t>
            </w: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本次报价包含一切税费、运杂费、保险费、装卸落地费、保管费、节假日加班费、仓储费、二次搬运费（搬运至各区域所发生的全部费用）、搬运人员食宿交通、、专用工具费（若有）、因清运不当导致的行政处罚及完成本项目的可能涉及的所有费用等。</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院方</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供应商将货物在院方指定时间运到院方指定的地点以后通知院方进行验收，若货物与进货数目不相符，或有损坏，或者货物的包装、品种、规格、质量等不符合规定，院方有权拒收全部或部分货物，供应商必须按照院方要求收回或补齐，供应商实际交货时间以供应商最终补齐货物时间为准。参与交货验收的单位在货物清单上共同签字，并填写交货验收合格证明，此合格证明为供应商交货的凭证，也是供应商申请付款的必要依。</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供应商在交货的同时应向院方提供电缆厂家授权经销合同，产品合格证等相关资料，否则院方有权拒收货物。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6. 对供应商所提供的产品，院方有权随机抽样送检，如送检产品质量不符合相应国家或者行业标准，院方有权对供应商提出索赔。产品质量必须通过国家检测机构相关部门验收标准为准。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三、</w:t>
      </w:r>
      <w:r>
        <w:rPr>
          <w:rFonts w:hint="eastAsia" w:ascii="华文细黑" w:hAnsi="华文细黑" w:eastAsia="华文细黑" w:cs="华文细黑"/>
          <w:b/>
          <w:bCs/>
          <w:color w:val="auto"/>
          <w:sz w:val="24"/>
          <w:szCs w:val="24"/>
        </w:rPr>
        <w:t>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符合《中华人民共和国政府采购法》第二十二条规定条件；必须具备本次招标货物或服务的经营资质</w:t>
      </w:r>
      <w:r>
        <w:rPr>
          <w:rFonts w:hint="eastAsia" w:ascii="华文细黑" w:hAnsi="华文细黑" w:eastAsia="华文细黑" w:cs="华文细黑"/>
          <w:color w:val="auto"/>
          <w:sz w:val="24"/>
          <w:szCs w:val="24"/>
          <w:lang w:val="en-US"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b/>
          <w:bCs/>
          <w:color w:val="auto"/>
          <w:sz w:val="24"/>
          <w:szCs w:val="24"/>
          <w:lang w:val="en-US" w:eastAsia="zh-CN"/>
        </w:rPr>
      </w:pPr>
      <w:r>
        <w:rPr>
          <w:rFonts w:hint="eastAsia" w:ascii="华文细黑" w:hAnsi="华文细黑" w:eastAsia="华文细黑" w:cs="华文细黑"/>
          <w:color w:val="auto"/>
          <w:sz w:val="24"/>
          <w:szCs w:val="24"/>
          <w:lang w:val="en-US" w:eastAsia="zh-CN"/>
        </w:rPr>
        <w:t>2. 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四</w:t>
      </w:r>
      <w:r>
        <w:rPr>
          <w:rFonts w:hint="eastAsia" w:ascii="华文细黑" w:hAnsi="华文细黑" w:eastAsia="华文细黑" w:cs="华文细黑"/>
          <w:b/>
          <w:bCs/>
          <w:color w:val="auto"/>
          <w:sz w:val="24"/>
          <w:szCs w:val="24"/>
        </w:rPr>
        <w:t>、响应文件编制要求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 响应文件</w:t>
      </w:r>
      <w:r>
        <w:rPr>
          <w:rFonts w:hint="eastAsia" w:ascii="华文细黑" w:hAnsi="华文细黑" w:eastAsia="华文细黑" w:cs="华文细黑"/>
          <w:color w:val="auto"/>
          <w:sz w:val="24"/>
          <w:szCs w:val="24"/>
          <w:lang w:val="en-US" w:eastAsia="zh-CN"/>
        </w:rPr>
        <w:t>包含报价、</w:t>
      </w:r>
      <w:r>
        <w:rPr>
          <w:rFonts w:hint="eastAsia" w:ascii="华文细黑" w:hAnsi="华文细黑" w:eastAsia="华文细黑" w:cs="华文细黑"/>
          <w:color w:val="auto"/>
          <w:sz w:val="24"/>
          <w:szCs w:val="24"/>
        </w:rPr>
        <w:t>技术</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w:t>
      </w:r>
      <w:r>
        <w:rPr>
          <w:rFonts w:hint="eastAsia" w:ascii="华文细黑" w:hAnsi="华文细黑" w:eastAsia="华文细黑" w:cs="华文细黑"/>
          <w:color w:val="auto"/>
          <w:sz w:val="24"/>
          <w:szCs w:val="24"/>
          <w:lang w:val="en-US" w:eastAsia="zh-CN"/>
        </w:rPr>
        <w:t>资料不得少于叁份。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按本文件表格内所列内容报价；（2）采购到货</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和所提供的为合格产品的有关资格证明文件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若适用</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，招标文件要求提供的其他资料等（均需加盖公章）：（1）法人授权委托书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其他非生活垃圾清运所需要的</w:t>
      </w:r>
      <w:r>
        <w:rPr>
          <w:rFonts w:hint="eastAsia" w:ascii="华文细黑" w:hAnsi="华文细黑" w:eastAsia="华文细黑" w:cs="华文细黑"/>
          <w:color w:val="auto"/>
          <w:sz w:val="24"/>
          <w:szCs w:val="24"/>
        </w:rPr>
        <w:t>资质及认证文件</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）项目负责人简历表；（</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综合评标法，评分细则详见附件。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本次报价总价不得超过7万元，超过7万元作无效标处理。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九</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u w:val="single"/>
          <w:lang w:val="en-US" w:eastAsia="zh-CN"/>
        </w:rPr>
        <w:t>10</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6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二</w:t>
      </w:r>
      <w:bookmarkStart w:id="0" w:name="_GoBack"/>
      <w:bookmarkEnd w:id="0"/>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十</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2020年9月29日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附件：</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0%×100</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w:t>
      </w:r>
      <w:r>
        <w:rPr>
          <w:rFonts w:hint="eastAsia" w:ascii="华文中宋" w:hAnsi="华文中宋" w:eastAsia="华文中宋" w:cs="华文中宋"/>
          <w:b/>
          <w:bCs/>
          <w:szCs w:val="21"/>
          <w:lang w:val="en-US" w:eastAsia="zh-CN"/>
        </w:rPr>
        <w:t>资信</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60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投标人自2017年1月1日以来（以合同签订时间为准）具有同类项目业绩，每个业绩得2分，加满为止。此项以合同复印件加盖公章作为业绩证明材料。（8分）</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承诺在原有质保期基础上增加质保期1年加1分，2年加2分，最高得2分。（2分）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供货电缆的产品品牌知名度及质量可靠性</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投标人的供货能力及供货包装运输保证</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针对医院的</w:t>
      </w:r>
      <w:r>
        <w:rPr>
          <w:rFonts w:hint="eastAsia" w:ascii="华文中宋" w:hAnsi="华文中宋" w:eastAsia="华文中宋" w:cs="华文中宋"/>
          <w:szCs w:val="21"/>
        </w:rPr>
        <w:t>施工方案及保证措施是否具有针对性、</w:t>
      </w:r>
      <w:r>
        <w:rPr>
          <w:rFonts w:hint="eastAsia" w:ascii="华文中宋" w:hAnsi="华文中宋" w:eastAsia="华文中宋" w:cs="华文中宋"/>
          <w:szCs w:val="21"/>
          <w:lang w:val="en-US" w:eastAsia="zh-CN"/>
        </w:rPr>
        <w:t>是否</w:t>
      </w:r>
      <w:r>
        <w:rPr>
          <w:rFonts w:hint="eastAsia" w:ascii="华文中宋" w:hAnsi="华文中宋" w:eastAsia="华文中宋" w:cs="华文中宋"/>
          <w:szCs w:val="21"/>
        </w:rPr>
        <w:t>科学合理（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6</w:t>
      </w:r>
      <w:r>
        <w:rPr>
          <w:rFonts w:hint="eastAsia" w:ascii="华文中宋" w:hAnsi="华文中宋" w:eastAsia="华文中宋" w:cs="华文中宋"/>
          <w:szCs w:val="21"/>
        </w:rPr>
        <w:t>）派驻现场的技术管理人员</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施工人员</w:t>
      </w:r>
      <w:r>
        <w:rPr>
          <w:rFonts w:hint="eastAsia" w:ascii="华文中宋" w:hAnsi="华文中宋" w:eastAsia="华文中宋" w:cs="华文中宋"/>
          <w:szCs w:val="21"/>
        </w:rPr>
        <w:t>的专业配置是否合理（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default" w:ascii="华文中宋" w:hAnsi="华文中宋" w:eastAsia="华文中宋" w:cs="华文中宋"/>
          <w:szCs w:val="21"/>
          <w:lang w:val="en-US" w:eastAsia="zh-CN"/>
        </w:rPr>
      </w:pP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7</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针对本项目的工期进度保证措施是否合理（10分）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8</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针对本项目的优惠条件及其它</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lang w:val="en-US" w:eastAsia="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p>
      <w:pPr>
        <w:rPr>
          <w:rFonts w:hint="eastAsia"/>
          <w:sz w:val="52"/>
          <w:szCs w:val="52"/>
          <w:lang w:val="en-US" w:eastAsia="zh-CN"/>
        </w:rPr>
      </w:pPr>
      <w:r>
        <w:rPr>
          <w:rFonts w:hint="eastAsia"/>
          <w:sz w:val="52"/>
          <w:szCs w:val="52"/>
          <w:lang w:val="en-US" w:eastAsia="zh-CN"/>
        </w:rPr>
        <w:br w:type="page"/>
      </w:r>
    </w:p>
    <w:p>
      <w:pPr>
        <w:rPr>
          <w:rFonts w:hint="eastAsia"/>
          <w:sz w:val="52"/>
          <w:szCs w:val="52"/>
          <w:lang w:val="en-US" w:eastAsia="zh-CN"/>
        </w:rPr>
      </w:pPr>
      <w:r>
        <w:rPr>
          <w:rFonts w:hint="eastAsia"/>
          <w:sz w:val="52"/>
          <w:szCs w:val="5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spacing w:line="440" w:lineRule="exact"/>
        <w:jc w:val="right"/>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5"/>
      </w:rPr>
    </w:pPr>
    <w:r>
      <w:fldChar w:fldCharType="begin"/>
    </w:r>
    <w:r>
      <w:rPr>
        <w:rStyle w:val="15"/>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5"/>
      </w:rPr>
      <w:instrText xml:space="preserve"> PAGE </w:instrText>
    </w:r>
    <w:r>
      <w:fldChar w:fldCharType="separate"/>
    </w:r>
    <w:r>
      <w:rPr>
        <w:rStyle w:val="15"/>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5C547"/>
    <w:multiLevelType w:val="singleLevel"/>
    <w:tmpl w:val="C015C5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0943439"/>
    <w:rsid w:val="03B379F6"/>
    <w:rsid w:val="03D649C9"/>
    <w:rsid w:val="03EC3CE1"/>
    <w:rsid w:val="063208CF"/>
    <w:rsid w:val="07C904D2"/>
    <w:rsid w:val="07CD72E2"/>
    <w:rsid w:val="0854225F"/>
    <w:rsid w:val="092614CF"/>
    <w:rsid w:val="09AC7B34"/>
    <w:rsid w:val="0A1D66DF"/>
    <w:rsid w:val="0A2F4FBC"/>
    <w:rsid w:val="0D43052A"/>
    <w:rsid w:val="0EF1332E"/>
    <w:rsid w:val="0F6109C4"/>
    <w:rsid w:val="109848C5"/>
    <w:rsid w:val="10B04510"/>
    <w:rsid w:val="133E55D2"/>
    <w:rsid w:val="13AA5AD0"/>
    <w:rsid w:val="17ED5450"/>
    <w:rsid w:val="18343455"/>
    <w:rsid w:val="186E039E"/>
    <w:rsid w:val="19846524"/>
    <w:rsid w:val="1AD346B0"/>
    <w:rsid w:val="1AE2747C"/>
    <w:rsid w:val="1AE94B8D"/>
    <w:rsid w:val="1B2B7777"/>
    <w:rsid w:val="1C602D60"/>
    <w:rsid w:val="1D1B4069"/>
    <w:rsid w:val="1E755027"/>
    <w:rsid w:val="1F4F5874"/>
    <w:rsid w:val="21662205"/>
    <w:rsid w:val="25682B68"/>
    <w:rsid w:val="25F76C1E"/>
    <w:rsid w:val="261A3D2C"/>
    <w:rsid w:val="26212EF7"/>
    <w:rsid w:val="26A055F1"/>
    <w:rsid w:val="271577AD"/>
    <w:rsid w:val="27622B4F"/>
    <w:rsid w:val="27FA485B"/>
    <w:rsid w:val="287A0E0C"/>
    <w:rsid w:val="292A570E"/>
    <w:rsid w:val="2A5965E2"/>
    <w:rsid w:val="2BF96F6F"/>
    <w:rsid w:val="2C607D30"/>
    <w:rsid w:val="2D282DE6"/>
    <w:rsid w:val="2D6B50D0"/>
    <w:rsid w:val="2DDD6F61"/>
    <w:rsid w:val="329763A8"/>
    <w:rsid w:val="347D0A86"/>
    <w:rsid w:val="353324D4"/>
    <w:rsid w:val="38EF7149"/>
    <w:rsid w:val="38FC7F3D"/>
    <w:rsid w:val="3A140A17"/>
    <w:rsid w:val="3AB103B1"/>
    <w:rsid w:val="3B97567C"/>
    <w:rsid w:val="3C941356"/>
    <w:rsid w:val="3D3A3B9C"/>
    <w:rsid w:val="3D63623D"/>
    <w:rsid w:val="3D7006E5"/>
    <w:rsid w:val="3D8E7E14"/>
    <w:rsid w:val="3E1F7478"/>
    <w:rsid w:val="41455CDC"/>
    <w:rsid w:val="415E7867"/>
    <w:rsid w:val="41DB4835"/>
    <w:rsid w:val="42AF4681"/>
    <w:rsid w:val="42D206C7"/>
    <w:rsid w:val="433F7B6D"/>
    <w:rsid w:val="43587E57"/>
    <w:rsid w:val="49075482"/>
    <w:rsid w:val="49D32A72"/>
    <w:rsid w:val="4A437485"/>
    <w:rsid w:val="4AAC6732"/>
    <w:rsid w:val="4C341C93"/>
    <w:rsid w:val="4E8906A9"/>
    <w:rsid w:val="507E01D9"/>
    <w:rsid w:val="54A17A22"/>
    <w:rsid w:val="55DC295A"/>
    <w:rsid w:val="564E75C4"/>
    <w:rsid w:val="57E906EE"/>
    <w:rsid w:val="58A92678"/>
    <w:rsid w:val="59FF7749"/>
    <w:rsid w:val="5AA2310A"/>
    <w:rsid w:val="5CE71816"/>
    <w:rsid w:val="5FA54E79"/>
    <w:rsid w:val="600E7E56"/>
    <w:rsid w:val="6031407E"/>
    <w:rsid w:val="623C44CF"/>
    <w:rsid w:val="6368606F"/>
    <w:rsid w:val="63A96F59"/>
    <w:rsid w:val="644841BC"/>
    <w:rsid w:val="64C17567"/>
    <w:rsid w:val="65FA5E43"/>
    <w:rsid w:val="67564F5E"/>
    <w:rsid w:val="67832C8C"/>
    <w:rsid w:val="67854C12"/>
    <w:rsid w:val="690B55B5"/>
    <w:rsid w:val="69E34B52"/>
    <w:rsid w:val="6ADF4DE8"/>
    <w:rsid w:val="6D52344C"/>
    <w:rsid w:val="7016324A"/>
    <w:rsid w:val="70C82517"/>
    <w:rsid w:val="7163034B"/>
    <w:rsid w:val="72A14BB7"/>
    <w:rsid w:val="736917B9"/>
    <w:rsid w:val="73B41659"/>
    <w:rsid w:val="740A5DBF"/>
    <w:rsid w:val="749F74E9"/>
    <w:rsid w:val="78D941C0"/>
    <w:rsid w:val="795C315F"/>
    <w:rsid w:val="79B6104D"/>
    <w:rsid w:val="79D51966"/>
    <w:rsid w:val="7D161986"/>
    <w:rsid w:val="7EEC0AEA"/>
    <w:rsid w:val="7F3A67A5"/>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w:basedOn w:val="3"/>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Martin</cp:lastModifiedBy>
  <cp:lastPrinted>2020-08-05T07:14:00Z</cp:lastPrinted>
  <dcterms:modified xsi:type="dcterms:W3CDTF">2020-09-29T05:39:41Z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