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BD1" w:rsidRDefault="00977BD1">
      <w:pPr>
        <w:jc w:val="center"/>
        <w:rPr>
          <w:rFonts w:ascii="宋体" w:hAnsi="宋体" w:cs="宋体"/>
          <w:sz w:val="84"/>
        </w:rPr>
      </w:pPr>
    </w:p>
    <w:p w:rsidR="00977BD1" w:rsidRDefault="00977BD1">
      <w:pPr>
        <w:jc w:val="center"/>
        <w:rPr>
          <w:rFonts w:ascii="宋体" w:hAnsi="宋体" w:cs="宋体"/>
          <w:sz w:val="84"/>
        </w:rPr>
      </w:pPr>
    </w:p>
    <w:p w:rsidR="00977BD1" w:rsidRDefault="008567A1">
      <w:pPr>
        <w:jc w:val="center"/>
        <w:rPr>
          <w:rFonts w:ascii="宋体" w:hAnsi="宋体" w:cs="宋体"/>
          <w:sz w:val="84"/>
        </w:rPr>
      </w:pPr>
      <w:r>
        <w:rPr>
          <w:rFonts w:ascii="宋体" w:hAnsi="宋体" w:cs="宋体" w:hint="eastAsia"/>
          <w:sz w:val="84"/>
        </w:rPr>
        <w:t>招 标 文 件</w:t>
      </w:r>
    </w:p>
    <w:p w:rsidR="00977BD1" w:rsidRDefault="00977BD1">
      <w:pPr>
        <w:ind w:firstLine="600"/>
        <w:rPr>
          <w:rFonts w:ascii="宋体" w:hAnsi="宋体" w:cs="宋体"/>
          <w:sz w:val="32"/>
        </w:rPr>
      </w:pPr>
    </w:p>
    <w:p w:rsidR="00977BD1" w:rsidRDefault="00977BD1">
      <w:pPr>
        <w:ind w:firstLine="600"/>
        <w:rPr>
          <w:rFonts w:ascii="宋体" w:hAnsi="宋体" w:cs="宋体"/>
          <w:sz w:val="32"/>
        </w:rPr>
      </w:pPr>
    </w:p>
    <w:p w:rsidR="00977BD1" w:rsidRDefault="00977BD1">
      <w:pPr>
        <w:rPr>
          <w:rFonts w:ascii="宋体" w:hAnsi="宋体" w:cs="宋体"/>
          <w:sz w:val="48"/>
          <w:u w:val="single"/>
        </w:rPr>
      </w:pPr>
    </w:p>
    <w:p w:rsidR="00977BD1" w:rsidRDefault="00977BD1">
      <w:pPr>
        <w:rPr>
          <w:rFonts w:ascii="宋体" w:hAnsi="宋体" w:cs="宋体"/>
          <w:sz w:val="48"/>
          <w:u w:val="single"/>
        </w:rPr>
      </w:pPr>
    </w:p>
    <w:p w:rsidR="00977BD1" w:rsidRDefault="008567A1">
      <w:pPr>
        <w:jc w:val="center"/>
        <w:rPr>
          <w:rFonts w:ascii="宋体" w:hAnsi="宋体" w:cs="宋体"/>
          <w:sz w:val="32"/>
        </w:rPr>
      </w:pPr>
      <w:r>
        <w:rPr>
          <w:rFonts w:ascii="宋体" w:hAnsi="宋体" w:cs="宋体" w:hint="eastAsia"/>
          <w:sz w:val="48"/>
          <w:u w:val="single"/>
        </w:rPr>
        <w:t>浙江省肿瘤医院在线式UPS电源（主机）采购项目</w:t>
      </w:r>
    </w:p>
    <w:p w:rsidR="00977BD1" w:rsidRDefault="00977BD1">
      <w:pPr>
        <w:ind w:right="5525"/>
        <w:rPr>
          <w:rFonts w:ascii="宋体" w:hAnsi="宋体" w:cs="宋体"/>
          <w:sz w:val="32"/>
        </w:rPr>
      </w:pPr>
    </w:p>
    <w:p w:rsidR="00977BD1" w:rsidRDefault="00977BD1">
      <w:pPr>
        <w:spacing w:before="240"/>
        <w:ind w:firstLine="600"/>
        <w:rPr>
          <w:rFonts w:ascii="宋体" w:hAnsi="宋体" w:cs="宋体"/>
        </w:rPr>
      </w:pPr>
    </w:p>
    <w:p w:rsidR="00977BD1" w:rsidRDefault="00977BD1">
      <w:pPr>
        <w:spacing w:before="240"/>
        <w:ind w:firstLine="600"/>
        <w:rPr>
          <w:rFonts w:ascii="宋体" w:hAnsi="宋体" w:cs="宋体"/>
        </w:rPr>
      </w:pPr>
    </w:p>
    <w:p w:rsidR="00977BD1" w:rsidRDefault="00977BD1">
      <w:pPr>
        <w:spacing w:before="240"/>
        <w:rPr>
          <w:rFonts w:ascii="宋体" w:hAnsi="宋体" w:cs="宋体"/>
        </w:rPr>
      </w:pPr>
    </w:p>
    <w:p w:rsidR="00977BD1" w:rsidRDefault="00977BD1">
      <w:pPr>
        <w:spacing w:before="240"/>
        <w:ind w:firstLine="600"/>
        <w:rPr>
          <w:rFonts w:ascii="宋体" w:hAnsi="宋体" w:cs="宋体"/>
        </w:rPr>
      </w:pPr>
    </w:p>
    <w:p w:rsidR="00977BD1" w:rsidRDefault="008567A1">
      <w:pPr>
        <w:jc w:val="center"/>
        <w:rPr>
          <w:rFonts w:ascii="宋体" w:hAnsi="宋体" w:cs="宋体"/>
          <w:sz w:val="32"/>
        </w:rPr>
      </w:pPr>
      <w:r>
        <w:rPr>
          <w:rFonts w:ascii="宋体" w:hAnsi="宋体" w:cs="宋体" w:hint="eastAsia"/>
          <w:sz w:val="32"/>
        </w:rPr>
        <w:t>浙江省肿瘤医院</w:t>
      </w:r>
    </w:p>
    <w:p w:rsidR="00977BD1" w:rsidRDefault="008567A1">
      <w:pPr>
        <w:jc w:val="center"/>
        <w:rPr>
          <w:rFonts w:ascii="宋体" w:hAnsi="宋体" w:cs="宋体"/>
          <w:sz w:val="32"/>
        </w:rPr>
        <w:sectPr w:rsidR="00977BD1">
          <w:headerReference w:type="default" r:id="rId8"/>
          <w:footerReference w:type="even" r:id="rId9"/>
          <w:footerReference w:type="default" r:id="rId10"/>
          <w:footerReference w:type="first" r:id="rId11"/>
          <w:pgSz w:w="11907" w:h="16840"/>
          <w:pgMar w:top="1418" w:right="1418" w:bottom="1418" w:left="1701" w:header="851" w:footer="851" w:gutter="0"/>
          <w:cols w:space="720"/>
          <w:titlePg/>
          <w:docGrid w:type="lines" w:linePitch="286"/>
        </w:sectPr>
      </w:pPr>
      <w:r>
        <w:rPr>
          <w:rFonts w:ascii="宋体" w:hAnsi="宋体" w:cs="宋体" w:hint="eastAsia"/>
          <w:sz w:val="32"/>
        </w:rPr>
        <w:t>二○一八年八月</w:t>
      </w:r>
    </w:p>
    <w:p w:rsidR="00977BD1" w:rsidRDefault="008567A1" w:rsidP="00D60FA9">
      <w:pPr>
        <w:pStyle w:val="a4"/>
        <w:spacing w:before="0" w:beforeAutospacing="0" w:afterLines="50" w:afterAutospacing="0" w:line="440" w:lineRule="exact"/>
        <w:ind w:left="360" w:hangingChars="100" w:hanging="360"/>
        <w:jc w:val="center"/>
        <w:rPr>
          <w:rFonts w:ascii="华文细黑" w:eastAsia="华文细黑" w:hAnsi="华文细黑" w:cs="华文细黑"/>
          <w:color w:val="auto"/>
          <w:szCs w:val="24"/>
        </w:rPr>
      </w:pPr>
      <w:r>
        <w:rPr>
          <w:rFonts w:ascii="华文细黑" w:eastAsia="华文细黑" w:hAnsi="华文细黑" w:cs="华文细黑" w:hint="eastAsia"/>
          <w:b/>
          <w:bCs/>
          <w:sz w:val="36"/>
          <w:szCs w:val="36"/>
          <w:lang w:val="zh-CN"/>
        </w:rPr>
        <w:lastRenderedPageBreak/>
        <w:t>浙江省肿瘤医院在线式UPS电源（主机）采购项目</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我院拟采取公开招标议价谈判方式，完成浙江省肿瘤医院在线式UPS电源（主机）采购项目招标，现将有关事项公告如下：</w:t>
      </w:r>
    </w:p>
    <w:p w:rsidR="00977BD1" w:rsidRDefault="008567A1">
      <w:pPr>
        <w:pStyle w:val="a5"/>
        <w:tabs>
          <w:tab w:val="left" w:pos="0"/>
        </w:tabs>
        <w:wordWrap w:val="0"/>
        <w:spacing w:after="0" w:line="44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一、项目名称和质量保证</w:t>
      </w:r>
    </w:p>
    <w:p w:rsidR="00977BD1" w:rsidRDefault="008567A1">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1. 项目名称：浙江省肿瘤医院在线式UPS电源（主机）采购项目。</w:t>
      </w:r>
    </w:p>
    <w:p w:rsidR="00977BD1" w:rsidRDefault="008567A1">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2. 质量保证：</w:t>
      </w:r>
    </w:p>
    <w:p w:rsidR="00977BD1" w:rsidRDefault="008567A1">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（1）所供货物是全新的、未使用过的货物，同时应保证货物的各项功能和技术指标达到投标文件和国家相关标准。</w:t>
      </w:r>
    </w:p>
    <w:p w:rsidR="00977BD1" w:rsidRDefault="008567A1">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（2）货物在正确安装、正常使用和保养条件下，在建筑物使用寿命内的正常使用和运行。货物质保期不得少于36个月（含人工及配件维修）。</w:t>
      </w:r>
    </w:p>
    <w:p w:rsidR="00977BD1" w:rsidRDefault="008567A1">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（3）供应商除提供货物外，还应随货物向院方提供交付货物的出厂合格证、质量检验报告、厂家营业执照复印件、生产许可证复印件、授权经销合同复印件等相关资料（复印件均需加盖供应单位红章）；</w:t>
      </w:r>
    </w:p>
    <w:p w:rsidR="00977BD1" w:rsidRDefault="008567A1">
      <w:pPr>
        <w:pStyle w:val="a5"/>
        <w:tabs>
          <w:tab w:val="left" w:pos="0"/>
        </w:tabs>
        <w:wordWrap w:val="0"/>
        <w:spacing w:after="0" w:line="44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二、服务内容</w:t>
      </w:r>
    </w:p>
    <w:p w:rsidR="00977BD1" w:rsidRDefault="008567A1">
      <w:pPr>
        <w:spacing w:line="400" w:lineRule="exact"/>
        <w:ind w:left="-426" w:rightChars="-162" w:right="-340" w:firstLineChars="200" w:firstLine="480"/>
        <w:rPr>
          <w:rFonts w:ascii="华文细黑" w:eastAsia="华文细黑" w:hAnsi="华文细黑" w:cs="华文细黑"/>
          <w:bCs/>
          <w:kern w:val="0"/>
          <w:sz w:val="24"/>
          <w:szCs w:val="24"/>
        </w:rPr>
      </w:pPr>
      <w:r>
        <w:rPr>
          <w:rFonts w:ascii="华文细黑" w:eastAsia="华文细黑" w:hAnsi="华文细黑" w:cs="华文细黑" w:hint="eastAsia"/>
          <w:bCs/>
          <w:kern w:val="0"/>
          <w:sz w:val="24"/>
          <w:szCs w:val="24"/>
        </w:rPr>
        <w:t>1.货物（品牌、规格、厂家、产地）、服务名称、数量、单价及合同分项价格、总价：</w:t>
      </w:r>
    </w:p>
    <w:tbl>
      <w:tblPr>
        <w:tblpPr w:leftFromText="180" w:rightFromText="180" w:vertAnchor="text" w:horzAnchor="page" w:tblpX="1134" w:tblpY="17"/>
        <w:tblOverlap w:val="never"/>
        <w:tblW w:w="9850" w:type="dxa"/>
        <w:tblLayout w:type="fixed"/>
        <w:tblCellMar>
          <w:left w:w="30" w:type="dxa"/>
          <w:right w:w="30" w:type="dxa"/>
        </w:tblCellMar>
        <w:tblLook w:val="04A0"/>
      </w:tblPr>
      <w:tblGrid>
        <w:gridCol w:w="667"/>
        <w:gridCol w:w="2910"/>
        <w:gridCol w:w="1052"/>
        <w:gridCol w:w="2051"/>
        <w:gridCol w:w="1035"/>
        <w:gridCol w:w="1050"/>
        <w:gridCol w:w="1085"/>
      </w:tblGrid>
      <w:tr w:rsidR="00977BD1">
        <w:trPr>
          <w:trHeight w:val="406"/>
        </w:trPr>
        <w:tc>
          <w:tcPr>
            <w:tcW w:w="667" w:type="dxa"/>
            <w:tcBorders>
              <w:top w:val="double" w:sz="4" w:space="0" w:color="auto"/>
              <w:left w:val="double" w:sz="4" w:space="0" w:color="auto"/>
              <w:bottom w:val="single" w:sz="6" w:space="0" w:color="auto"/>
              <w:right w:val="single" w:sz="4" w:space="0" w:color="auto"/>
            </w:tcBorders>
            <w:vAlign w:val="center"/>
          </w:tcPr>
          <w:p w:rsidR="00977BD1" w:rsidRDefault="008567A1">
            <w:pPr>
              <w:autoSpaceDE w:val="0"/>
              <w:autoSpaceDN w:val="0"/>
              <w:adjustRightInd w:val="0"/>
              <w:spacing w:line="400" w:lineRule="exact"/>
              <w:jc w:val="center"/>
              <w:rPr>
                <w:rFonts w:ascii="华文细黑" w:eastAsia="华文细黑" w:hAnsi="华文细黑" w:cs="华文细黑"/>
                <w:szCs w:val="21"/>
              </w:rPr>
            </w:pPr>
            <w:r>
              <w:rPr>
                <w:rFonts w:ascii="华文细黑" w:eastAsia="华文细黑" w:hAnsi="华文细黑" w:cs="华文细黑" w:hint="eastAsia"/>
                <w:szCs w:val="21"/>
              </w:rPr>
              <w:t>序号</w:t>
            </w:r>
          </w:p>
        </w:tc>
        <w:tc>
          <w:tcPr>
            <w:tcW w:w="2910" w:type="dxa"/>
            <w:tcBorders>
              <w:top w:val="double" w:sz="4" w:space="0" w:color="auto"/>
              <w:left w:val="single" w:sz="4" w:space="0" w:color="auto"/>
              <w:bottom w:val="single" w:sz="6" w:space="0" w:color="auto"/>
              <w:right w:val="single" w:sz="4" w:space="0" w:color="auto"/>
            </w:tcBorders>
            <w:vAlign w:val="center"/>
          </w:tcPr>
          <w:p w:rsidR="00977BD1" w:rsidRDefault="008567A1">
            <w:pPr>
              <w:autoSpaceDE w:val="0"/>
              <w:autoSpaceDN w:val="0"/>
              <w:adjustRightInd w:val="0"/>
              <w:spacing w:line="400" w:lineRule="exact"/>
              <w:jc w:val="center"/>
              <w:rPr>
                <w:rFonts w:ascii="华文细黑" w:eastAsia="华文细黑" w:hAnsi="华文细黑" w:cs="华文细黑"/>
                <w:szCs w:val="21"/>
              </w:rPr>
            </w:pPr>
            <w:r>
              <w:rPr>
                <w:rFonts w:ascii="华文细黑" w:eastAsia="华文细黑" w:hAnsi="华文细黑" w:cs="华文细黑" w:hint="eastAsia"/>
                <w:szCs w:val="21"/>
              </w:rPr>
              <w:t>货物名称</w:t>
            </w:r>
          </w:p>
        </w:tc>
        <w:tc>
          <w:tcPr>
            <w:tcW w:w="1052" w:type="dxa"/>
            <w:tcBorders>
              <w:top w:val="double" w:sz="4" w:space="0" w:color="auto"/>
              <w:left w:val="single" w:sz="4" w:space="0" w:color="auto"/>
              <w:bottom w:val="single" w:sz="6" w:space="0" w:color="auto"/>
              <w:right w:val="single" w:sz="4" w:space="0" w:color="auto"/>
            </w:tcBorders>
            <w:vAlign w:val="center"/>
          </w:tcPr>
          <w:p w:rsidR="00977BD1" w:rsidRDefault="008567A1">
            <w:pPr>
              <w:autoSpaceDE w:val="0"/>
              <w:autoSpaceDN w:val="0"/>
              <w:adjustRightInd w:val="0"/>
              <w:spacing w:line="400" w:lineRule="exact"/>
              <w:jc w:val="center"/>
              <w:rPr>
                <w:rFonts w:ascii="华文细黑" w:eastAsia="华文细黑" w:hAnsi="华文细黑" w:cs="华文细黑"/>
                <w:szCs w:val="21"/>
              </w:rPr>
            </w:pPr>
            <w:r>
              <w:rPr>
                <w:rFonts w:ascii="华文细黑" w:eastAsia="华文细黑" w:hAnsi="华文细黑" w:cs="华文细黑" w:hint="eastAsia"/>
                <w:szCs w:val="21"/>
              </w:rPr>
              <w:t>数量（套）</w:t>
            </w:r>
          </w:p>
        </w:tc>
        <w:tc>
          <w:tcPr>
            <w:tcW w:w="2051" w:type="dxa"/>
            <w:tcBorders>
              <w:top w:val="double" w:sz="4" w:space="0" w:color="auto"/>
              <w:left w:val="single" w:sz="4" w:space="0" w:color="auto"/>
              <w:bottom w:val="single" w:sz="6" w:space="0" w:color="auto"/>
              <w:right w:val="single" w:sz="4" w:space="0" w:color="auto"/>
            </w:tcBorders>
            <w:vAlign w:val="center"/>
          </w:tcPr>
          <w:p w:rsidR="00977BD1" w:rsidRDefault="008567A1">
            <w:pPr>
              <w:autoSpaceDE w:val="0"/>
              <w:autoSpaceDN w:val="0"/>
              <w:adjustRightInd w:val="0"/>
              <w:spacing w:line="400" w:lineRule="exact"/>
              <w:jc w:val="center"/>
              <w:rPr>
                <w:rFonts w:ascii="华文细黑" w:eastAsia="华文细黑" w:hAnsi="华文细黑" w:cs="华文细黑"/>
                <w:szCs w:val="21"/>
              </w:rPr>
            </w:pPr>
            <w:r>
              <w:rPr>
                <w:rFonts w:ascii="华文细黑" w:eastAsia="华文细黑" w:hAnsi="华文细黑" w:cs="华文细黑" w:hint="eastAsia"/>
                <w:szCs w:val="21"/>
              </w:rPr>
              <w:t>产地/品牌</w:t>
            </w:r>
          </w:p>
        </w:tc>
        <w:tc>
          <w:tcPr>
            <w:tcW w:w="1035" w:type="dxa"/>
            <w:tcBorders>
              <w:top w:val="double" w:sz="4" w:space="0" w:color="auto"/>
              <w:left w:val="single" w:sz="4" w:space="0" w:color="auto"/>
              <w:bottom w:val="single" w:sz="6" w:space="0" w:color="auto"/>
              <w:right w:val="single" w:sz="4" w:space="0" w:color="auto"/>
            </w:tcBorders>
            <w:vAlign w:val="center"/>
          </w:tcPr>
          <w:p w:rsidR="00977BD1" w:rsidRDefault="008567A1">
            <w:pPr>
              <w:autoSpaceDE w:val="0"/>
              <w:autoSpaceDN w:val="0"/>
              <w:adjustRightInd w:val="0"/>
              <w:spacing w:line="400" w:lineRule="exact"/>
              <w:jc w:val="center"/>
              <w:rPr>
                <w:rFonts w:ascii="华文细黑" w:eastAsia="华文细黑" w:hAnsi="华文细黑" w:cs="华文细黑"/>
                <w:szCs w:val="21"/>
              </w:rPr>
            </w:pPr>
            <w:r>
              <w:rPr>
                <w:rFonts w:ascii="华文细黑" w:eastAsia="华文细黑" w:hAnsi="华文细黑" w:cs="华文细黑" w:hint="eastAsia"/>
                <w:szCs w:val="21"/>
              </w:rPr>
              <w:t>单价（元）</w:t>
            </w:r>
          </w:p>
        </w:tc>
        <w:tc>
          <w:tcPr>
            <w:tcW w:w="1050" w:type="dxa"/>
            <w:tcBorders>
              <w:top w:val="double" w:sz="4" w:space="0" w:color="auto"/>
              <w:left w:val="single" w:sz="4" w:space="0" w:color="auto"/>
              <w:bottom w:val="single" w:sz="6" w:space="0" w:color="auto"/>
              <w:right w:val="double" w:sz="4" w:space="0" w:color="auto"/>
            </w:tcBorders>
            <w:vAlign w:val="center"/>
          </w:tcPr>
          <w:p w:rsidR="00977BD1" w:rsidRDefault="008567A1">
            <w:pPr>
              <w:autoSpaceDE w:val="0"/>
              <w:autoSpaceDN w:val="0"/>
              <w:adjustRightInd w:val="0"/>
              <w:spacing w:line="400" w:lineRule="exact"/>
              <w:jc w:val="center"/>
              <w:rPr>
                <w:rFonts w:ascii="华文细黑" w:eastAsia="华文细黑" w:hAnsi="华文细黑" w:cs="华文细黑"/>
                <w:szCs w:val="21"/>
              </w:rPr>
            </w:pPr>
            <w:r>
              <w:rPr>
                <w:rFonts w:ascii="华文细黑" w:eastAsia="华文细黑" w:hAnsi="华文细黑" w:cs="华文细黑" w:hint="eastAsia"/>
                <w:szCs w:val="21"/>
              </w:rPr>
              <w:t>合价（元）</w:t>
            </w:r>
          </w:p>
        </w:tc>
        <w:tc>
          <w:tcPr>
            <w:tcW w:w="1085" w:type="dxa"/>
            <w:tcBorders>
              <w:top w:val="double" w:sz="4" w:space="0" w:color="auto"/>
              <w:left w:val="single" w:sz="4" w:space="0" w:color="auto"/>
              <w:bottom w:val="single" w:sz="6" w:space="0" w:color="auto"/>
              <w:right w:val="double" w:sz="4" w:space="0" w:color="auto"/>
            </w:tcBorders>
            <w:vAlign w:val="center"/>
          </w:tcPr>
          <w:p w:rsidR="00977BD1" w:rsidRDefault="008567A1">
            <w:pPr>
              <w:autoSpaceDE w:val="0"/>
              <w:autoSpaceDN w:val="0"/>
              <w:adjustRightInd w:val="0"/>
              <w:spacing w:line="400" w:lineRule="exact"/>
              <w:jc w:val="center"/>
              <w:rPr>
                <w:rFonts w:ascii="华文细黑" w:eastAsia="华文细黑" w:hAnsi="华文细黑" w:cs="华文细黑"/>
                <w:szCs w:val="21"/>
              </w:rPr>
            </w:pPr>
            <w:r>
              <w:rPr>
                <w:rFonts w:ascii="华文细黑" w:eastAsia="华文细黑" w:hAnsi="华文细黑" w:cs="华文细黑" w:hint="eastAsia"/>
                <w:szCs w:val="21"/>
              </w:rPr>
              <w:t>备注</w:t>
            </w:r>
          </w:p>
        </w:tc>
      </w:tr>
      <w:tr w:rsidR="00977BD1">
        <w:trPr>
          <w:trHeight w:val="681"/>
        </w:trPr>
        <w:tc>
          <w:tcPr>
            <w:tcW w:w="667" w:type="dxa"/>
            <w:tcBorders>
              <w:top w:val="single" w:sz="6" w:space="0" w:color="auto"/>
              <w:left w:val="double" w:sz="4" w:space="0" w:color="auto"/>
              <w:right w:val="single" w:sz="4" w:space="0" w:color="auto"/>
            </w:tcBorders>
            <w:vAlign w:val="center"/>
          </w:tcPr>
          <w:p w:rsidR="00977BD1" w:rsidRDefault="008567A1">
            <w:pPr>
              <w:autoSpaceDE w:val="0"/>
              <w:autoSpaceDN w:val="0"/>
              <w:adjustRightInd w:val="0"/>
              <w:spacing w:line="400" w:lineRule="exact"/>
              <w:jc w:val="center"/>
              <w:rPr>
                <w:rFonts w:ascii="华文细黑" w:eastAsia="华文细黑" w:hAnsi="华文细黑" w:cs="华文细黑"/>
                <w:szCs w:val="21"/>
              </w:rPr>
            </w:pPr>
            <w:r>
              <w:rPr>
                <w:rFonts w:ascii="华文细黑" w:eastAsia="华文细黑" w:hAnsi="华文细黑" w:cs="华文细黑" w:hint="eastAsia"/>
                <w:szCs w:val="21"/>
              </w:rPr>
              <w:t>1</w:t>
            </w:r>
          </w:p>
        </w:tc>
        <w:tc>
          <w:tcPr>
            <w:tcW w:w="2910" w:type="dxa"/>
            <w:tcBorders>
              <w:top w:val="single" w:sz="6" w:space="0" w:color="auto"/>
              <w:left w:val="single" w:sz="4" w:space="0" w:color="auto"/>
              <w:right w:val="single" w:sz="4" w:space="0" w:color="auto"/>
            </w:tcBorders>
            <w:vAlign w:val="center"/>
          </w:tcPr>
          <w:p w:rsidR="00977BD1" w:rsidRDefault="008567A1">
            <w:pPr>
              <w:autoSpaceDE w:val="0"/>
              <w:autoSpaceDN w:val="0"/>
              <w:adjustRightInd w:val="0"/>
              <w:spacing w:line="400" w:lineRule="exact"/>
              <w:jc w:val="center"/>
              <w:rPr>
                <w:rFonts w:ascii="华文细黑" w:eastAsia="华文细黑" w:hAnsi="华文细黑" w:cs="华文细黑"/>
                <w:szCs w:val="21"/>
              </w:rPr>
            </w:pPr>
            <w:r>
              <w:rPr>
                <w:rFonts w:ascii="华文细黑" w:eastAsia="华文细黑" w:hAnsi="华文细黑" w:cs="华文细黑" w:hint="eastAsia"/>
                <w:sz w:val="24"/>
                <w:szCs w:val="24"/>
              </w:rPr>
              <w:t>在线式UPS电源（主机）</w:t>
            </w:r>
          </w:p>
        </w:tc>
        <w:tc>
          <w:tcPr>
            <w:tcW w:w="1052" w:type="dxa"/>
            <w:tcBorders>
              <w:top w:val="single" w:sz="6" w:space="0" w:color="auto"/>
              <w:left w:val="single" w:sz="4" w:space="0" w:color="auto"/>
              <w:right w:val="single" w:sz="4" w:space="0" w:color="auto"/>
            </w:tcBorders>
            <w:vAlign w:val="center"/>
          </w:tcPr>
          <w:p w:rsidR="00977BD1" w:rsidRDefault="008567A1">
            <w:pPr>
              <w:autoSpaceDE w:val="0"/>
              <w:autoSpaceDN w:val="0"/>
              <w:adjustRightInd w:val="0"/>
              <w:spacing w:line="400" w:lineRule="exact"/>
              <w:jc w:val="center"/>
              <w:rPr>
                <w:rFonts w:ascii="华文细黑" w:eastAsia="华文细黑" w:hAnsi="华文细黑" w:cs="华文细黑"/>
                <w:szCs w:val="21"/>
              </w:rPr>
            </w:pPr>
            <w:r>
              <w:rPr>
                <w:rFonts w:ascii="华文细黑" w:eastAsia="华文细黑" w:hAnsi="华文细黑" w:cs="华文细黑" w:hint="eastAsia"/>
                <w:szCs w:val="21"/>
              </w:rPr>
              <w:t>1套</w:t>
            </w:r>
          </w:p>
        </w:tc>
        <w:tc>
          <w:tcPr>
            <w:tcW w:w="2051" w:type="dxa"/>
            <w:tcBorders>
              <w:top w:val="single" w:sz="6" w:space="0" w:color="auto"/>
              <w:left w:val="single" w:sz="4" w:space="0" w:color="auto"/>
              <w:right w:val="single" w:sz="4" w:space="0" w:color="auto"/>
            </w:tcBorders>
            <w:vAlign w:val="center"/>
          </w:tcPr>
          <w:p w:rsidR="00977BD1" w:rsidRDefault="008567A1">
            <w:pPr>
              <w:autoSpaceDE w:val="0"/>
              <w:autoSpaceDN w:val="0"/>
              <w:adjustRightInd w:val="0"/>
              <w:spacing w:line="400" w:lineRule="exact"/>
              <w:jc w:val="center"/>
              <w:rPr>
                <w:rFonts w:ascii="华文细黑" w:eastAsia="华文细黑" w:hAnsi="华文细黑" w:cs="华文细黑"/>
                <w:szCs w:val="21"/>
              </w:rPr>
            </w:pPr>
            <w:r>
              <w:rPr>
                <w:rFonts w:ascii="华文细黑" w:eastAsia="华文细黑" w:hAnsi="华文细黑" w:cs="华文细黑" w:hint="eastAsia"/>
                <w:szCs w:val="21"/>
              </w:rPr>
              <w:t>品牌：山特、松下、伊顿或同档次及以上</w:t>
            </w:r>
          </w:p>
        </w:tc>
        <w:tc>
          <w:tcPr>
            <w:tcW w:w="1035" w:type="dxa"/>
            <w:tcBorders>
              <w:top w:val="single" w:sz="6" w:space="0" w:color="auto"/>
              <w:left w:val="single" w:sz="4" w:space="0" w:color="auto"/>
              <w:right w:val="single" w:sz="4" w:space="0" w:color="auto"/>
            </w:tcBorders>
            <w:vAlign w:val="center"/>
          </w:tcPr>
          <w:p w:rsidR="00977BD1" w:rsidRDefault="00977BD1">
            <w:pPr>
              <w:autoSpaceDE w:val="0"/>
              <w:autoSpaceDN w:val="0"/>
              <w:adjustRightInd w:val="0"/>
              <w:spacing w:line="400" w:lineRule="exact"/>
              <w:jc w:val="center"/>
              <w:rPr>
                <w:rFonts w:ascii="华文细黑" w:eastAsia="华文细黑" w:hAnsi="华文细黑" w:cs="华文细黑"/>
                <w:szCs w:val="21"/>
              </w:rPr>
            </w:pPr>
          </w:p>
        </w:tc>
        <w:tc>
          <w:tcPr>
            <w:tcW w:w="1050" w:type="dxa"/>
            <w:tcBorders>
              <w:top w:val="single" w:sz="6" w:space="0" w:color="auto"/>
              <w:left w:val="single" w:sz="4" w:space="0" w:color="auto"/>
              <w:right w:val="double" w:sz="4" w:space="0" w:color="auto"/>
            </w:tcBorders>
            <w:vAlign w:val="center"/>
          </w:tcPr>
          <w:p w:rsidR="00977BD1" w:rsidRDefault="00977BD1">
            <w:pPr>
              <w:autoSpaceDE w:val="0"/>
              <w:autoSpaceDN w:val="0"/>
              <w:adjustRightInd w:val="0"/>
              <w:spacing w:line="400" w:lineRule="exact"/>
              <w:jc w:val="center"/>
              <w:rPr>
                <w:rFonts w:ascii="华文细黑" w:eastAsia="华文细黑" w:hAnsi="华文细黑" w:cs="华文细黑"/>
                <w:szCs w:val="21"/>
              </w:rPr>
            </w:pPr>
          </w:p>
        </w:tc>
        <w:tc>
          <w:tcPr>
            <w:tcW w:w="1085" w:type="dxa"/>
            <w:vMerge w:val="restart"/>
            <w:tcBorders>
              <w:top w:val="single" w:sz="6" w:space="0" w:color="auto"/>
              <w:left w:val="single" w:sz="4" w:space="0" w:color="auto"/>
              <w:right w:val="double" w:sz="4" w:space="0" w:color="auto"/>
            </w:tcBorders>
            <w:vAlign w:val="center"/>
          </w:tcPr>
          <w:p w:rsidR="00977BD1" w:rsidRDefault="00977BD1">
            <w:pPr>
              <w:autoSpaceDE w:val="0"/>
              <w:autoSpaceDN w:val="0"/>
              <w:adjustRightInd w:val="0"/>
              <w:spacing w:line="400" w:lineRule="exact"/>
              <w:jc w:val="center"/>
              <w:rPr>
                <w:rFonts w:ascii="华文细黑" w:eastAsia="华文细黑" w:hAnsi="华文细黑" w:cs="华文细黑"/>
                <w:szCs w:val="21"/>
              </w:rPr>
            </w:pPr>
          </w:p>
          <w:p w:rsidR="00977BD1" w:rsidRDefault="00977BD1">
            <w:pPr>
              <w:autoSpaceDE w:val="0"/>
              <w:autoSpaceDN w:val="0"/>
              <w:adjustRightInd w:val="0"/>
              <w:spacing w:line="400" w:lineRule="exact"/>
              <w:jc w:val="center"/>
              <w:rPr>
                <w:rFonts w:ascii="华文细黑" w:eastAsia="华文细黑" w:hAnsi="华文细黑" w:cs="华文细黑"/>
                <w:szCs w:val="21"/>
              </w:rPr>
            </w:pPr>
          </w:p>
        </w:tc>
      </w:tr>
      <w:tr w:rsidR="00977BD1">
        <w:trPr>
          <w:trHeight w:val="681"/>
        </w:trPr>
        <w:tc>
          <w:tcPr>
            <w:tcW w:w="8765" w:type="dxa"/>
            <w:gridSpan w:val="6"/>
            <w:vMerge w:val="restart"/>
            <w:tcBorders>
              <w:top w:val="single" w:sz="6" w:space="0" w:color="auto"/>
              <w:left w:val="double" w:sz="4" w:space="0" w:color="auto"/>
              <w:right w:val="double" w:sz="4" w:space="0" w:color="auto"/>
            </w:tcBorders>
            <w:vAlign w:val="center"/>
          </w:tcPr>
          <w:p w:rsidR="00977BD1" w:rsidRDefault="008567A1">
            <w:pPr>
              <w:numPr>
                <w:ilvl w:val="0"/>
                <w:numId w:val="1"/>
              </w:numPr>
              <w:autoSpaceDE w:val="0"/>
              <w:autoSpaceDN w:val="0"/>
              <w:adjustRightInd w:val="0"/>
              <w:spacing w:line="400" w:lineRule="exact"/>
              <w:rPr>
                <w:rFonts w:ascii="华文细黑" w:eastAsia="华文细黑" w:hAnsi="华文细黑" w:cs="华文细黑"/>
                <w:szCs w:val="21"/>
              </w:rPr>
            </w:pPr>
            <w:r>
              <w:rPr>
                <w:rFonts w:ascii="华文细黑" w:eastAsia="华文细黑" w:hAnsi="华文细黑" w:cs="华文细黑" w:hint="eastAsia"/>
                <w:szCs w:val="21"/>
              </w:rPr>
              <w:t>机柜容量不小于120KW，可选功率模块不小于6个；</w:t>
            </w:r>
          </w:p>
          <w:p w:rsidR="00977BD1" w:rsidRDefault="008567A1">
            <w:pPr>
              <w:numPr>
                <w:ilvl w:val="0"/>
                <w:numId w:val="1"/>
              </w:numPr>
              <w:autoSpaceDE w:val="0"/>
              <w:autoSpaceDN w:val="0"/>
              <w:adjustRightInd w:val="0"/>
              <w:spacing w:line="400" w:lineRule="exact"/>
              <w:rPr>
                <w:rFonts w:ascii="华文细黑" w:eastAsia="华文细黑" w:hAnsi="华文细黑" w:cs="华文细黑"/>
                <w:szCs w:val="21"/>
              </w:rPr>
            </w:pPr>
            <w:r>
              <w:rPr>
                <w:rFonts w:ascii="华文细黑" w:eastAsia="华文细黑" w:hAnsi="华文细黑" w:cs="华文细黑" w:hint="eastAsia"/>
                <w:szCs w:val="21"/>
              </w:rPr>
              <w:t>额定电压3×380VAC/400VAC/415VAC（3Ph+N）；</w:t>
            </w:r>
          </w:p>
          <w:p w:rsidR="00977BD1" w:rsidRDefault="008567A1">
            <w:pPr>
              <w:numPr>
                <w:ilvl w:val="0"/>
                <w:numId w:val="1"/>
              </w:numPr>
              <w:autoSpaceDE w:val="0"/>
              <w:autoSpaceDN w:val="0"/>
              <w:adjustRightInd w:val="0"/>
              <w:spacing w:line="400" w:lineRule="exact"/>
              <w:rPr>
                <w:rFonts w:ascii="华文细黑" w:eastAsia="华文细黑" w:hAnsi="华文细黑" w:cs="华文细黑"/>
                <w:szCs w:val="21"/>
              </w:rPr>
            </w:pPr>
            <w:r>
              <w:rPr>
                <w:rFonts w:ascii="华文细黑" w:eastAsia="华文细黑" w:hAnsi="华文细黑" w:cs="华文细黑" w:hint="eastAsia"/>
                <w:szCs w:val="21"/>
              </w:rPr>
              <w:t>电压稳定性（稳态）≤±1％典型值（平衡负载）；≤±2％典型值（不平衡负载）；</w:t>
            </w:r>
          </w:p>
          <w:p w:rsidR="00977BD1" w:rsidRDefault="008567A1">
            <w:pPr>
              <w:autoSpaceDE w:val="0"/>
              <w:autoSpaceDN w:val="0"/>
              <w:adjustRightInd w:val="0"/>
              <w:spacing w:line="400" w:lineRule="exact"/>
              <w:rPr>
                <w:rFonts w:ascii="华文细黑" w:eastAsia="华文细黑" w:hAnsi="华文细黑" w:cs="华文细黑"/>
                <w:szCs w:val="21"/>
              </w:rPr>
            </w:pPr>
            <w:r>
              <w:rPr>
                <w:rFonts w:ascii="华文细黑" w:eastAsia="华文细黑" w:hAnsi="华文细黑" w:cs="华文细黑" w:hint="eastAsia"/>
                <w:szCs w:val="21"/>
              </w:rPr>
              <w:t>电压稳定性（瞬态）≤±5％典型值；</w:t>
            </w:r>
          </w:p>
          <w:p w:rsidR="00977BD1" w:rsidRDefault="008567A1">
            <w:pPr>
              <w:autoSpaceDE w:val="0"/>
              <w:autoSpaceDN w:val="0"/>
              <w:adjustRightInd w:val="0"/>
              <w:spacing w:line="400" w:lineRule="exact"/>
              <w:rPr>
                <w:rFonts w:ascii="华文细黑" w:eastAsia="华文细黑" w:hAnsi="华文细黑" w:cs="华文细黑"/>
                <w:szCs w:val="21"/>
              </w:rPr>
            </w:pPr>
            <w:r>
              <w:rPr>
                <w:rFonts w:ascii="华文细黑" w:eastAsia="华文细黑" w:hAnsi="华文细黑" w:cs="华文细黑" w:hint="eastAsia"/>
                <w:szCs w:val="21"/>
              </w:rPr>
              <w:t>额定电压+/-216V（12V×36颗），最大电压+/-240V（12V×40颗），最大电压+/-192V（12V×32颗）；最大充电电流：20KW模块，每个模块6A；</w:t>
            </w:r>
          </w:p>
          <w:p w:rsidR="00977BD1" w:rsidRDefault="008567A1">
            <w:pPr>
              <w:numPr>
                <w:ilvl w:val="0"/>
                <w:numId w:val="1"/>
              </w:numPr>
              <w:autoSpaceDE w:val="0"/>
              <w:autoSpaceDN w:val="0"/>
              <w:adjustRightInd w:val="0"/>
              <w:spacing w:line="400" w:lineRule="exact"/>
              <w:rPr>
                <w:rFonts w:ascii="华文细黑" w:eastAsia="华文细黑" w:hAnsi="华文细黑" w:cs="华文细黑"/>
                <w:szCs w:val="21"/>
              </w:rPr>
            </w:pPr>
            <w:r>
              <w:rPr>
                <w:rFonts w:ascii="华文细黑" w:eastAsia="华文细黑" w:hAnsi="华文细黑" w:cs="华文细黑" w:hint="eastAsia"/>
                <w:szCs w:val="21"/>
              </w:rPr>
              <w:t>带UPS实时监控及历史记录查询功能，UPS充电部分必须具备过温保护功能，提供UPS过温保护电路的专利证明，UPS主机柜中标配手动维修旁路空开，便于将UPS系统完全隔离电源；</w:t>
            </w:r>
          </w:p>
          <w:p w:rsidR="00977BD1" w:rsidRDefault="008567A1">
            <w:pPr>
              <w:numPr>
                <w:ilvl w:val="0"/>
                <w:numId w:val="1"/>
              </w:numPr>
              <w:autoSpaceDE w:val="0"/>
              <w:autoSpaceDN w:val="0"/>
              <w:adjustRightInd w:val="0"/>
              <w:spacing w:line="400" w:lineRule="exact"/>
              <w:rPr>
                <w:rFonts w:ascii="华文细黑" w:eastAsia="华文细黑" w:hAnsi="华文细黑" w:cs="华文细黑"/>
                <w:szCs w:val="21"/>
              </w:rPr>
            </w:pPr>
            <w:r>
              <w:rPr>
                <w:rFonts w:ascii="华文细黑" w:eastAsia="华文细黑" w:hAnsi="华文细黑" w:cs="华文细黑" w:hint="eastAsia"/>
                <w:szCs w:val="21"/>
              </w:rPr>
              <w:t>其他参数要求按国家规范及行业标准要求执行；</w:t>
            </w:r>
          </w:p>
        </w:tc>
        <w:tc>
          <w:tcPr>
            <w:tcW w:w="1085" w:type="dxa"/>
            <w:vMerge/>
            <w:tcBorders>
              <w:left w:val="single" w:sz="4" w:space="0" w:color="auto"/>
              <w:right w:val="double" w:sz="4" w:space="0" w:color="auto"/>
            </w:tcBorders>
            <w:vAlign w:val="center"/>
          </w:tcPr>
          <w:p w:rsidR="00977BD1" w:rsidRDefault="00977BD1">
            <w:pPr>
              <w:autoSpaceDE w:val="0"/>
              <w:autoSpaceDN w:val="0"/>
              <w:adjustRightInd w:val="0"/>
              <w:spacing w:line="400" w:lineRule="exact"/>
              <w:jc w:val="center"/>
              <w:rPr>
                <w:rFonts w:ascii="华文细黑" w:eastAsia="华文细黑" w:hAnsi="华文细黑" w:cs="华文细黑"/>
                <w:szCs w:val="21"/>
              </w:rPr>
            </w:pPr>
          </w:p>
        </w:tc>
      </w:tr>
      <w:tr w:rsidR="00977BD1">
        <w:trPr>
          <w:trHeight w:val="681"/>
        </w:trPr>
        <w:tc>
          <w:tcPr>
            <w:tcW w:w="8765" w:type="dxa"/>
            <w:gridSpan w:val="6"/>
            <w:vMerge/>
            <w:tcBorders>
              <w:left w:val="double" w:sz="4" w:space="0" w:color="auto"/>
              <w:right w:val="double" w:sz="4" w:space="0" w:color="auto"/>
            </w:tcBorders>
            <w:vAlign w:val="center"/>
          </w:tcPr>
          <w:p w:rsidR="00977BD1" w:rsidRDefault="00977BD1">
            <w:pPr>
              <w:autoSpaceDE w:val="0"/>
              <w:autoSpaceDN w:val="0"/>
              <w:adjustRightInd w:val="0"/>
              <w:spacing w:line="400" w:lineRule="exact"/>
              <w:jc w:val="center"/>
              <w:rPr>
                <w:rFonts w:ascii="华文细黑" w:eastAsia="华文细黑" w:hAnsi="华文细黑" w:cs="华文细黑"/>
                <w:szCs w:val="21"/>
              </w:rPr>
            </w:pPr>
          </w:p>
        </w:tc>
        <w:tc>
          <w:tcPr>
            <w:tcW w:w="1085" w:type="dxa"/>
            <w:tcBorders>
              <w:left w:val="single" w:sz="4" w:space="0" w:color="auto"/>
              <w:right w:val="double" w:sz="4" w:space="0" w:color="auto"/>
            </w:tcBorders>
            <w:vAlign w:val="center"/>
          </w:tcPr>
          <w:p w:rsidR="00977BD1" w:rsidRDefault="00977BD1">
            <w:pPr>
              <w:autoSpaceDE w:val="0"/>
              <w:autoSpaceDN w:val="0"/>
              <w:adjustRightInd w:val="0"/>
              <w:spacing w:line="400" w:lineRule="exact"/>
              <w:jc w:val="center"/>
              <w:rPr>
                <w:rFonts w:ascii="华文细黑" w:eastAsia="华文细黑" w:hAnsi="华文细黑" w:cs="华文细黑"/>
                <w:szCs w:val="21"/>
              </w:rPr>
            </w:pPr>
          </w:p>
          <w:p w:rsidR="00977BD1" w:rsidRDefault="00977BD1">
            <w:pPr>
              <w:autoSpaceDE w:val="0"/>
              <w:autoSpaceDN w:val="0"/>
              <w:adjustRightInd w:val="0"/>
              <w:spacing w:line="400" w:lineRule="exact"/>
              <w:jc w:val="center"/>
              <w:rPr>
                <w:rFonts w:ascii="华文细黑" w:eastAsia="华文细黑" w:hAnsi="华文细黑" w:cs="华文细黑"/>
                <w:szCs w:val="21"/>
              </w:rPr>
            </w:pPr>
          </w:p>
        </w:tc>
      </w:tr>
      <w:tr w:rsidR="00977BD1">
        <w:trPr>
          <w:trHeight w:val="681"/>
        </w:trPr>
        <w:tc>
          <w:tcPr>
            <w:tcW w:w="8765" w:type="dxa"/>
            <w:gridSpan w:val="6"/>
            <w:vMerge/>
            <w:tcBorders>
              <w:left w:val="double" w:sz="4" w:space="0" w:color="auto"/>
              <w:right w:val="double" w:sz="4" w:space="0" w:color="auto"/>
            </w:tcBorders>
            <w:vAlign w:val="center"/>
          </w:tcPr>
          <w:p w:rsidR="00977BD1" w:rsidRDefault="00977BD1">
            <w:pPr>
              <w:autoSpaceDE w:val="0"/>
              <w:autoSpaceDN w:val="0"/>
              <w:adjustRightInd w:val="0"/>
              <w:spacing w:line="400" w:lineRule="exact"/>
              <w:jc w:val="center"/>
              <w:rPr>
                <w:rFonts w:ascii="华文细黑" w:eastAsia="华文细黑" w:hAnsi="华文细黑" w:cs="华文细黑"/>
                <w:szCs w:val="21"/>
              </w:rPr>
            </w:pPr>
          </w:p>
        </w:tc>
        <w:tc>
          <w:tcPr>
            <w:tcW w:w="1085" w:type="dxa"/>
            <w:tcBorders>
              <w:left w:val="single" w:sz="4" w:space="0" w:color="auto"/>
              <w:right w:val="double" w:sz="4" w:space="0" w:color="auto"/>
            </w:tcBorders>
            <w:vAlign w:val="center"/>
          </w:tcPr>
          <w:p w:rsidR="00977BD1" w:rsidRDefault="00977BD1">
            <w:pPr>
              <w:autoSpaceDE w:val="0"/>
              <w:autoSpaceDN w:val="0"/>
              <w:adjustRightInd w:val="0"/>
              <w:spacing w:line="400" w:lineRule="exact"/>
              <w:jc w:val="center"/>
              <w:rPr>
                <w:rFonts w:ascii="华文细黑" w:eastAsia="华文细黑" w:hAnsi="华文细黑" w:cs="华文细黑"/>
                <w:szCs w:val="21"/>
              </w:rPr>
            </w:pPr>
          </w:p>
        </w:tc>
      </w:tr>
      <w:tr w:rsidR="00977BD1">
        <w:trPr>
          <w:trHeight w:val="681"/>
        </w:trPr>
        <w:tc>
          <w:tcPr>
            <w:tcW w:w="8765" w:type="dxa"/>
            <w:gridSpan w:val="6"/>
            <w:vMerge/>
            <w:tcBorders>
              <w:left w:val="double" w:sz="4" w:space="0" w:color="auto"/>
              <w:right w:val="double" w:sz="4" w:space="0" w:color="auto"/>
            </w:tcBorders>
            <w:vAlign w:val="center"/>
          </w:tcPr>
          <w:p w:rsidR="00977BD1" w:rsidRDefault="00977BD1">
            <w:pPr>
              <w:autoSpaceDE w:val="0"/>
              <w:autoSpaceDN w:val="0"/>
              <w:adjustRightInd w:val="0"/>
              <w:spacing w:line="400" w:lineRule="exact"/>
              <w:jc w:val="center"/>
              <w:rPr>
                <w:rFonts w:ascii="华文细黑" w:eastAsia="华文细黑" w:hAnsi="华文细黑" w:cs="华文细黑"/>
                <w:szCs w:val="21"/>
              </w:rPr>
            </w:pPr>
          </w:p>
        </w:tc>
        <w:tc>
          <w:tcPr>
            <w:tcW w:w="1085" w:type="dxa"/>
            <w:tcBorders>
              <w:left w:val="single" w:sz="4" w:space="0" w:color="auto"/>
              <w:right w:val="double" w:sz="4" w:space="0" w:color="auto"/>
            </w:tcBorders>
            <w:vAlign w:val="center"/>
          </w:tcPr>
          <w:p w:rsidR="00977BD1" w:rsidRDefault="00977BD1">
            <w:pPr>
              <w:autoSpaceDE w:val="0"/>
              <w:autoSpaceDN w:val="0"/>
              <w:adjustRightInd w:val="0"/>
              <w:spacing w:line="400" w:lineRule="exact"/>
              <w:jc w:val="center"/>
              <w:rPr>
                <w:rFonts w:ascii="华文细黑" w:eastAsia="华文细黑" w:hAnsi="华文细黑" w:cs="华文细黑"/>
                <w:szCs w:val="21"/>
              </w:rPr>
            </w:pPr>
          </w:p>
        </w:tc>
      </w:tr>
      <w:tr w:rsidR="00977BD1">
        <w:trPr>
          <w:trHeight w:val="681"/>
        </w:trPr>
        <w:tc>
          <w:tcPr>
            <w:tcW w:w="8765" w:type="dxa"/>
            <w:gridSpan w:val="6"/>
            <w:vMerge/>
            <w:tcBorders>
              <w:left w:val="double" w:sz="4" w:space="0" w:color="auto"/>
              <w:right w:val="double" w:sz="4" w:space="0" w:color="auto"/>
            </w:tcBorders>
            <w:vAlign w:val="center"/>
          </w:tcPr>
          <w:p w:rsidR="00977BD1" w:rsidRDefault="00977BD1">
            <w:pPr>
              <w:autoSpaceDE w:val="0"/>
              <w:autoSpaceDN w:val="0"/>
              <w:adjustRightInd w:val="0"/>
              <w:spacing w:line="400" w:lineRule="exact"/>
              <w:jc w:val="center"/>
              <w:rPr>
                <w:rFonts w:ascii="华文细黑" w:eastAsia="华文细黑" w:hAnsi="华文细黑" w:cs="华文细黑"/>
                <w:szCs w:val="21"/>
              </w:rPr>
            </w:pPr>
          </w:p>
        </w:tc>
        <w:tc>
          <w:tcPr>
            <w:tcW w:w="1085" w:type="dxa"/>
            <w:tcBorders>
              <w:left w:val="single" w:sz="4" w:space="0" w:color="auto"/>
              <w:right w:val="double" w:sz="4" w:space="0" w:color="auto"/>
            </w:tcBorders>
            <w:vAlign w:val="center"/>
          </w:tcPr>
          <w:p w:rsidR="00977BD1" w:rsidRDefault="00977BD1">
            <w:pPr>
              <w:autoSpaceDE w:val="0"/>
              <w:autoSpaceDN w:val="0"/>
              <w:adjustRightInd w:val="0"/>
              <w:spacing w:line="400" w:lineRule="exact"/>
              <w:jc w:val="center"/>
              <w:rPr>
                <w:rFonts w:ascii="华文细黑" w:eastAsia="华文细黑" w:hAnsi="华文细黑" w:cs="华文细黑"/>
                <w:szCs w:val="21"/>
              </w:rPr>
            </w:pPr>
          </w:p>
        </w:tc>
      </w:tr>
      <w:tr w:rsidR="00977BD1">
        <w:trPr>
          <w:trHeight w:val="681"/>
        </w:trPr>
        <w:tc>
          <w:tcPr>
            <w:tcW w:w="8765" w:type="dxa"/>
            <w:gridSpan w:val="6"/>
            <w:vMerge/>
            <w:tcBorders>
              <w:left w:val="double" w:sz="4" w:space="0" w:color="auto"/>
              <w:right w:val="double" w:sz="4" w:space="0" w:color="auto"/>
            </w:tcBorders>
            <w:vAlign w:val="center"/>
          </w:tcPr>
          <w:p w:rsidR="00977BD1" w:rsidRDefault="00977BD1">
            <w:pPr>
              <w:autoSpaceDE w:val="0"/>
              <w:autoSpaceDN w:val="0"/>
              <w:adjustRightInd w:val="0"/>
              <w:spacing w:line="400" w:lineRule="exact"/>
              <w:jc w:val="center"/>
              <w:rPr>
                <w:rFonts w:ascii="华文细黑" w:eastAsia="华文细黑" w:hAnsi="华文细黑" w:cs="华文细黑"/>
                <w:szCs w:val="21"/>
              </w:rPr>
            </w:pPr>
          </w:p>
        </w:tc>
        <w:tc>
          <w:tcPr>
            <w:tcW w:w="1085" w:type="dxa"/>
            <w:tcBorders>
              <w:left w:val="single" w:sz="4" w:space="0" w:color="auto"/>
              <w:right w:val="double" w:sz="4" w:space="0" w:color="auto"/>
            </w:tcBorders>
            <w:vAlign w:val="center"/>
          </w:tcPr>
          <w:p w:rsidR="00977BD1" w:rsidRDefault="00977BD1">
            <w:pPr>
              <w:autoSpaceDE w:val="0"/>
              <w:autoSpaceDN w:val="0"/>
              <w:adjustRightInd w:val="0"/>
              <w:spacing w:line="400" w:lineRule="exact"/>
              <w:jc w:val="center"/>
              <w:rPr>
                <w:rFonts w:ascii="华文细黑" w:eastAsia="华文细黑" w:hAnsi="华文细黑" w:cs="华文细黑"/>
                <w:szCs w:val="21"/>
              </w:rPr>
            </w:pPr>
          </w:p>
        </w:tc>
      </w:tr>
      <w:tr w:rsidR="00977BD1">
        <w:trPr>
          <w:cantSplit/>
          <w:trHeight w:val="445"/>
        </w:trPr>
        <w:tc>
          <w:tcPr>
            <w:tcW w:w="8765" w:type="dxa"/>
            <w:gridSpan w:val="6"/>
            <w:tcBorders>
              <w:top w:val="single" w:sz="6" w:space="0" w:color="auto"/>
              <w:left w:val="double" w:sz="4" w:space="0" w:color="auto"/>
              <w:bottom w:val="double" w:sz="4" w:space="0" w:color="auto"/>
              <w:right w:val="double" w:sz="4" w:space="0" w:color="auto"/>
            </w:tcBorders>
            <w:vAlign w:val="center"/>
          </w:tcPr>
          <w:p w:rsidR="00977BD1" w:rsidRDefault="008567A1">
            <w:pPr>
              <w:autoSpaceDE w:val="0"/>
              <w:autoSpaceDN w:val="0"/>
              <w:adjustRightInd w:val="0"/>
              <w:spacing w:line="400" w:lineRule="exact"/>
              <w:jc w:val="center"/>
              <w:rPr>
                <w:rFonts w:ascii="华文细黑" w:eastAsia="华文细黑" w:hAnsi="华文细黑" w:cs="华文细黑"/>
                <w:szCs w:val="21"/>
              </w:rPr>
            </w:pPr>
            <w:r>
              <w:rPr>
                <w:rFonts w:ascii="华文细黑" w:eastAsia="华文细黑" w:hAnsi="华文细黑" w:cs="华文细黑" w:hint="eastAsia"/>
                <w:b/>
                <w:bCs/>
                <w:szCs w:val="21"/>
              </w:rPr>
              <w:t>投标总价</w:t>
            </w:r>
            <w:r>
              <w:rPr>
                <w:rFonts w:ascii="华文细黑" w:eastAsia="华文细黑" w:hAnsi="华文细黑" w:cs="华文细黑" w:hint="eastAsia"/>
                <w:szCs w:val="21"/>
              </w:rPr>
              <w:t>（人民币大写）</w:t>
            </w:r>
            <w:r>
              <w:rPr>
                <w:rFonts w:ascii="华文细黑" w:eastAsia="华文细黑" w:hAnsi="华文细黑" w:cs="华文细黑" w:hint="eastAsia"/>
                <w:szCs w:val="21"/>
                <w:u w:val="single"/>
              </w:rPr>
              <w:t>人民币          元整</w:t>
            </w:r>
          </w:p>
          <w:p w:rsidR="00977BD1" w:rsidRDefault="008567A1">
            <w:pPr>
              <w:autoSpaceDE w:val="0"/>
              <w:autoSpaceDN w:val="0"/>
              <w:adjustRightInd w:val="0"/>
              <w:spacing w:line="400" w:lineRule="exact"/>
              <w:jc w:val="center"/>
              <w:rPr>
                <w:rFonts w:ascii="华文细黑" w:eastAsia="华文细黑" w:hAnsi="华文细黑" w:cs="华文细黑"/>
                <w:szCs w:val="21"/>
              </w:rPr>
            </w:pPr>
            <w:r>
              <w:rPr>
                <w:rFonts w:ascii="华文细黑" w:eastAsia="华文细黑" w:hAnsi="华文细黑" w:cs="华文细黑" w:hint="eastAsia"/>
                <w:szCs w:val="21"/>
              </w:rPr>
              <w:t xml:space="preserve">（人民币小写）¥ </w:t>
            </w:r>
            <w:r>
              <w:rPr>
                <w:rFonts w:ascii="华文细黑" w:eastAsia="华文细黑" w:hAnsi="华文细黑" w:cs="华文细黑" w:hint="eastAsia"/>
                <w:szCs w:val="21"/>
                <w:u w:val="single"/>
              </w:rPr>
              <w:t xml:space="preserve">                    </w:t>
            </w:r>
            <w:r>
              <w:rPr>
                <w:rFonts w:ascii="华文细黑" w:eastAsia="华文细黑" w:hAnsi="华文细黑" w:cs="华文细黑" w:hint="eastAsia"/>
                <w:szCs w:val="21"/>
              </w:rPr>
              <w:t>元</w:t>
            </w:r>
          </w:p>
          <w:p w:rsidR="00977BD1" w:rsidRDefault="00977BD1">
            <w:pPr>
              <w:autoSpaceDE w:val="0"/>
              <w:autoSpaceDN w:val="0"/>
              <w:adjustRightInd w:val="0"/>
              <w:spacing w:line="400" w:lineRule="exact"/>
              <w:jc w:val="center"/>
              <w:rPr>
                <w:rFonts w:ascii="华文细黑" w:eastAsia="华文细黑" w:hAnsi="华文细黑" w:cs="华文细黑"/>
                <w:szCs w:val="21"/>
              </w:rPr>
            </w:pPr>
          </w:p>
        </w:tc>
        <w:tc>
          <w:tcPr>
            <w:tcW w:w="1085" w:type="dxa"/>
            <w:tcBorders>
              <w:top w:val="single" w:sz="6" w:space="0" w:color="auto"/>
              <w:left w:val="double" w:sz="4" w:space="0" w:color="auto"/>
              <w:bottom w:val="double" w:sz="4" w:space="0" w:color="auto"/>
              <w:right w:val="double" w:sz="4" w:space="0" w:color="auto"/>
            </w:tcBorders>
            <w:vAlign w:val="center"/>
          </w:tcPr>
          <w:p w:rsidR="00977BD1" w:rsidRDefault="00977BD1">
            <w:pPr>
              <w:autoSpaceDE w:val="0"/>
              <w:autoSpaceDN w:val="0"/>
              <w:adjustRightInd w:val="0"/>
              <w:spacing w:line="400" w:lineRule="exact"/>
              <w:jc w:val="center"/>
              <w:rPr>
                <w:rFonts w:ascii="华文细黑" w:eastAsia="华文细黑" w:hAnsi="华文细黑" w:cs="华文细黑"/>
                <w:szCs w:val="21"/>
              </w:rPr>
            </w:pPr>
          </w:p>
        </w:tc>
      </w:tr>
    </w:tbl>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lastRenderedPageBreak/>
        <w:t>2. 合同价格为货物到达院方指定地点价格，包含一切税费、货物费、运杂费、保险费、装卸落地费、保管费、备品备件专用工具、货物仓储费、二次搬运费（搬运至各区域所发生的全部费用）、安装水电费、安装人员食宿交通、安装调试费、备品备件专用工具费（若有）、检测验收费（有关法律法规规定的货物进场、材料和成品抽检、最终检测及验收费）及质保期内维护保养等完成本项目所需的所有费用等，实行固定单价包干。</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3. 因实际需要调整供货数量时，合同总价按结算时实际货物验收单数量为准。涉及采购变更，必须由院方书面确认后方可作为结算的依据。</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4. 供应商将货物在院方指定时间运到院方指定的地点以后通知院方进行验收，若货物与进货数目不相符，或有损坏，或者货物的包装、品种、规格、质量等不符合规定，院方有权拒收全部或部分货物，供应商必须按照院方要求收回或补齐，供应商实际交货时间以供应商最终补齐货物时间为准。参与交货验收的单位在货物清单上共同签字，并填写交货验收合格证明，此合格证明为供应商交货的凭证，也是供应商申请付款的必要依。</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5. 供应商在交货的同时应向院方提供电池厂家授权经销合同，产品合格证，备案证等相关资料，否则院方有权拒收货物。</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6. 对供应商所提供的产品，院方有权随机抽样送检，如送检产品质量不符合相应国家或者行业标准，院方有权对供应商提出索赔。产品质量必须通过国家检测机构相关部门验收标准为准。</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7. 供应商应派遣有从事同类工作3年以上实践经验的技术人员进行UPS电源安装工作，安装人员必须持有国家相关部分颁发的作业证等，持证上岗。安装人员必须服从院方的管理，在院区内所产生的一切人身安全责任和事故由供应商自行处理和负责，院方不承担责任。</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8. 供应商负责原UPS电源的拆除，拆除所需的全部费用计入投标总价，不二次计费。拆除后的电池，由供应商按国家相关法律法规要求进行清运处置，该项费用也计入投标总价内。若违规处置所造成的全部责任均由供应商自行承担。</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 xml:space="preserve">9. UPS电源连接及安装必须牢固、可靠，安装必须符合国家及行业相关标准。供应商按院方指定时间负责进行通电测试，如发现有安全隐患，及时调整、保证安全，并提供书面测试结果。 </w:t>
      </w:r>
    </w:p>
    <w:p w:rsidR="00977BD1" w:rsidRDefault="008567A1">
      <w:pPr>
        <w:pStyle w:val="a5"/>
        <w:tabs>
          <w:tab w:val="left" w:pos="0"/>
        </w:tabs>
        <w:wordWrap w:val="0"/>
        <w:spacing w:after="0" w:line="44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三、供应商资格条件</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1. 符合《中华人民共和国政府采购法》第二十二条规定条件；必须具备本</w:t>
      </w:r>
      <w:r>
        <w:rPr>
          <w:rFonts w:ascii="华文细黑" w:eastAsia="华文细黑" w:hAnsi="华文细黑" w:cs="华文细黑" w:hint="eastAsia"/>
          <w:sz w:val="24"/>
          <w:szCs w:val="24"/>
        </w:rPr>
        <w:lastRenderedPageBreak/>
        <w:t>次招标货物或服务的经营资质。</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2. 近三年内有从事上述项目经营的业绩，即具备UPS电源安装、维护、维修经验，需提供相关案例材料。</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3. 本项目不接受联合体投标。</w:t>
      </w:r>
    </w:p>
    <w:p w:rsidR="00977BD1" w:rsidRDefault="008567A1">
      <w:pPr>
        <w:pStyle w:val="a5"/>
        <w:tabs>
          <w:tab w:val="left" w:pos="0"/>
        </w:tabs>
        <w:wordWrap w:val="0"/>
        <w:spacing w:after="0" w:line="44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四、响应文件编制要求</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1. 响应文件分报价文件、技术文件、商务文件，</w:t>
      </w:r>
      <w:r w:rsidR="00EA287D">
        <w:rPr>
          <w:rFonts w:ascii="华文细黑" w:eastAsia="华文细黑" w:hAnsi="华文细黑" w:cs="华文细黑" w:hint="eastAsia"/>
          <w:sz w:val="24"/>
          <w:szCs w:val="24"/>
        </w:rPr>
        <w:t>一式五</w:t>
      </w:r>
      <w:r>
        <w:rPr>
          <w:rFonts w:ascii="华文细黑" w:eastAsia="华文细黑" w:hAnsi="华文细黑" w:cs="华文细黑" w:hint="eastAsia"/>
          <w:sz w:val="24"/>
          <w:szCs w:val="24"/>
        </w:rPr>
        <w:t>份。</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2. 报价文件至少应包括以下内容（均需加盖公章）：（1）按本文件第二条第1款表格内所列内容报价；（2）采购到货响应周期及相应优惠条件等；（3）供应商需要说明的其他报价说明。</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3. 商务文件至少应包括以下内容：证明其为合格供应商和所提供的为合格产品的有关资格证明文件，招标文件要求提供的其他资料等（均需加盖公章）：（1）法人授权委托书；（2）法定代表人及受委托人的身份证复印件；（3）企业法人营业执照；（4）所有资质及认证文件；（5）主要业绩证明；（6）供应商认为需要的其他商务文件或说明。</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4. 技术文件至少应包括以下内容：针对本项目的技术和服务投标方案，招标文件要求提供的其他资料等（均需加盖公章）：（1）项目负责人简历表；（2）拟派本项目人员技术力量配备情况；（3）供应商应提供的技术资料；（4）供应商需要说明的其他文件和说明。</w:t>
      </w:r>
    </w:p>
    <w:p w:rsidR="00977BD1" w:rsidRDefault="008567A1">
      <w:pPr>
        <w:pStyle w:val="a5"/>
        <w:tabs>
          <w:tab w:val="left" w:pos="0"/>
        </w:tabs>
        <w:wordWrap w:val="0"/>
        <w:spacing w:after="0" w:line="44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五、评标办法</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本次招标采用综合评标法，评分细则详见附件。</w:t>
      </w:r>
    </w:p>
    <w:p w:rsidR="00977BD1" w:rsidRDefault="008567A1">
      <w:pPr>
        <w:pStyle w:val="a5"/>
        <w:tabs>
          <w:tab w:val="left" w:pos="0"/>
        </w:tabs>
        <w:wordWrap w:val="0"/>
        <w:spacing w:after="0" w:line="44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六、报价要求</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本次报价总价不得超过10万元，超过10万元作无效标处理。</w:t>
      </w:r>
    </w:p>
    <w:p w:rsidR="00977BD1" w:rsidRDefault="008567A1">
      <w:pPr>
        <w:pStyle w:val="a5"/>
        <w:tabs>
          <w:tab w:val="left" w:pos="0"/>
        </w:tabs>
        <w:wordWrap w:val="0"/>
        <w:spacing w:after="0" w:line="44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七、合同签订</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1. 中标人须在7个工作日内，与我院签订采购合同，否则，将视为自动放弃本项目的所有权利，取消中标资格。</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2. 合同签订前，我院将对合同内容进行审查，如发现与采购结果和投标承诺内容不一致的，取消中标资格。</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3. 中标人若拖延、拒签合同的,将取消中标资格。</w:t>
      </w:r>
    </w:p>
    <w:p w:rsidR="00977BD1" w:rsidRDefault="008567A1">
      <w:pPr>
        <w:pStyle w:val="a5"/>
        <w:tabs>
          <w:tab w:val="left" w:pos="0"/>
        </w:tabs>
        <w:wordWrap w:val="0"/>
        <w:spacing w:after="0" w:line="44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九、付款方式</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1. 所有货物以各批次实际采购数量分批次进行结算，货物到现场安装验收合格完毕，院方在收到该批次货款有效票</w:t>
      </w:r>
      <w:r w:rsidR="005F5E1C">
        <w:rPr>
          <w:rFonts w:ascii="华文细黑" w:eastAsia="华文细黑" w:hAnsi="华文细黑" w:cs="华文细黑" w:hint="eastAsia"/>
          <w:sz w:val="24"/>
          <w:szCs w:val="24"/>
        </w:rPr>
        <w:t>，</w:t>
      </w:r>
      <w:r>
        <w:rPr>
          <w:rFonts w:ascii="华文细黑" w:eastAsia="华文细黑" w:hAnsi="华文细黑" w:cs="华文细黑" w:hint="eastAsia"/>
          <w:sz w:val="24"/>
          <w:szCs w:val="24"/>
        </w:rPr>
        <w:t>据</w:t>
      </w:r>
      <w:r w:rsidR="005F5E1C">
        <w:rPr>
          <w:rFonts w:ascii="华文细黑" w:eastAsia="华文细黑" w:hAnsi="华文细黑" w:cs="华文细黑" w:hint="eastAsia"/>
          <w:sz w:val="24"/>
          <w:szCs w:val="24"/>
        </w:rPr>
        <w:t>内部审核完成后</w:t>
      </w:r>
      <w:r>
        <w:rPr>
          <w:rFonts w:ascii="华文细黑" w:eastAsia="华文细黑" w:hAnsi="华文细黑" w:cs="华文细黑" w:hint="eastAsia"/>
          <w:sz w:val="24"/>
          <w:szCs w:val="24"/>
        </w:rPr>
        <w:t>十五个工作日内支</w:t>
      </w:r>
      <w:r>
        <w:rPr>
          <w:rFonts w:ascii="华文细黑" w:eastAsia="华文细黑" w:hAnsi="华文细黑" w:cs="华文细黑" w:hint="eastAsia"/>
          <w:sz w:val="24"/>
          <w:szCs w:val="24"/>
        </w:rPr>
        <w:lastRenderedPageBreak/>
        <w:t>付至该批次货款结算总价的95%；留该批次结算总价的5%作为质量保证金。</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（1）双方签署的最终验收合格报告；</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（2）相应金额的发票。</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2. 质量保证金：自验收合格后满3年，售后服务良好，无质量和服务问题，原额（无息）退还质量保证金。</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3. 付款以转账支票形式支付。</w:t>
      </w:r>
    </w:p>
    <w:p w:rsidR="00977BD1" w:rsidRDefault="008567A1">
      <w:pPr>
        <w:pStyle w:val="a5"/>
        <w:tabs>
          <w:tab w:val="left" w:pos="0"/>
        </w:tabs>
        <w:wordWrap w:val="0"/>
        <w:spacing w:after="0" w:line="44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十、投标截止时间、开标时间及地点</w:t>
      </w:r>
    </w:p>
    <w:p w:rsidR="003669A3" w:rsidRDefault="008567A1" w:rsidP="003669A3">
      <w:pPr>
        <w:ind w:firstLineChars="200" w:firstLine="480"/>
        <w:rPr>
          <w:rFonts w:ascii="宋体" w:hAnsi="宋体"/>
          <w:sz w:val="28"/>
          <w:szCs w:val="28"/>
        </w:rPr>
      </w:pPr>
      <w:r>
        <w:rPr>
          <w:rFonts w:ascii="华文细黑" w:eastAsia="华文细黑" w:hAnsi="华文细黑" w:cs="华文细黑" w:hint="eastAsia"/>
          <w:sz w:val="24"/>
          <w:szCs w:val="24"/>
        </w:rPr>
        <w:t>1.</w:t>
      </w:r>
      <w:r w:rsidR="003669A3" w:rsidRPr="003669A3">
        <w:rPr>
          <w:rFonts w:ascii="华文细黑" w:eastAsia="华文细黑" w:hAnsi="华文细黑" w:cs="华文细黑" w:hint="eastAsia"/>
          <w:sz w:val="24"/>
          <w:szCs w:val="24"/>
        </w:rPr>
        <w:t>报名截止日期：2018年8月</w:t>
      </w:r>
      <w:r w:rsidR="00D60FA9">
        <w:rPr>
          <w:rFonts w:ascii="华文细黑" w:eastAsia="华文细黑" w:hAnsi="华文细黑" w:cs="华文细黑" w:hint="eastAsia"/>
          <w:sz w:val="24"/>
          <w:szCs w:val="24"/>
        </w:rPr>
        <w:t>22</w:t>
      </w:r>
      <w:r w:rsidR="003669A3" w:rsidRPr="003669A3">
        <w:rPr>
          <w:rFonts w:ascii="华文细黑" w:eastAsia="华文细黑" w:hAnsi="华文细黑" w:cs="华文细黑" w:hint="eastAsia"/>
          <w:sz w:val="24"/>
          <w:szCs w:val="24"/>
        </w:rPr>
        <w:t>日17:00之前必须通过邮件报名登记——邮箱地址：179872363@qq.com，报名信息至少包含：企业名称、联系人、联系电话、营业执照等。未报名登记的,或在要求提交响应文件的截止时间后送达的响应文件，采购人有权拒收。</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2．开标时间：2018年8月</w:t>
      </w:r>
      <w:r w:rsidR="00D60FA9">
        <w:rPr>
          <w:rFonts w:ascii="华文细黑" w:eastAsia="华文细黑" w:hAnsi="华文细黑" w:cs="华文细黑" w:hint="eastAsia"/>
          <w:sz w:val="24"/>
          <w:szCs w:val="24"/>
        </w:rPr>
        <w:t>23日</w:t>
      </w:r>
      <w:r>
        <w:rPr>
          <w:rFonts w:ascii="华文细黑" w:eastAsia="华文细黑" w:hAnsi="华文细黑" w:cs="华文细黑" w:hint="eastAsia"/>
          <w:sz w:val="24"/>
          <w:szCs w:val="24"/>
        </w:rPr>
        <w:t>9：</w:t>
      </w:r>
      <w:r w:rsidR="00EA287D">
        <w:rPr>
          <w:rFonts w:ascii="华文细黑" w:eastAsia="华文细黑" w:hAnsi="华文细黑" w:cs="华文细黑" w:hint="eastAsia"/>
          <w:sz w:val="24"/>
          <w:szCs w:val="24"/>
        </w:rPr>
        <w:t>3</w:t>
      </w:r>
      <w:r>
        <w:rPr>
          <w:rFonts w:ascii="华文细黑" w:eastAsia="华文细黑" w:hAnsi="华文细黑" w:cs="华文细黑" w:hint="eastAsia"/>
          <w:sz w:val="24"/>
          <w:szCs w:val="24"/>
        </w:rPr>
        <w:t>0</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3．投标地点：浙江省肿瘤医院5号楼2楼会议室</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4. 开标地点：浙江省肿瘤医院5号楼2楼会议室</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5. 采用快递方式递交投标文件，必须对投标文件进行密封并在密封处加盖公章，快递费用由投标单位自理，不接受到付件。邮寄地址：杭州市拱墅区半山东路1号浙江省肿瘤医院5号楼2楼</w:t>
      </w:r>
    </w:p>
    <w:p w:rsidR="00977BD1" w:rsidRDefault="008567A1">
      <w:pPr>
        <w:pStyle w:val="a5"/>
        <w:tabs>
          <w:tab w:val="left" w:pos="0"/>
        </w:tabs>
        <w:wordWrap w:val="0"/>
        <w:spacing w:after="0" w:line="44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十一、联系方式：</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1. 地址：杭州市拱墅区半山东路1号</w:t>
      </w:r>
    </w:p>
    <w:p w:rsidR="00977BD1" w:rsidRDefault="008567A1">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2. 联系方式：</w:t>
      </w:r>
    </w:p>
    <w:p w:rsidR="00977BD1" w:rsidRDefault="008567A1">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 xml:space="preserve">    联系人：伍孟德        联系电话：</w:t>
      </w:r>
      <w:bookmarkStart w:id="0" w:name="_GoBack"/>
      <w:bookmarkEnd w:id="0"/>
      <w:r w:rsidR="003669A3">
        <w:rPr>
          <w:rFonts w:ascii="华文细黑" w:eastAsia="华文细黑" w:hAnsi="华文细黑" w:cs="华文细黑" w:hint="eastAsia"/>
          <w:sz w:val="24"/>
          <w:szCs w:val="24"/>
        </w:rPr>
        <w:t>88122289</w:t>
      </w:r>
      <w:r>
        <w:rPr>
          <w:rFonts w:ascii="华文细黑" w:eastAsia="华文细黑" w:hAnsi="华文细黑" w:cs="华文细黑" w:hint="eastAsia"/>
          <w:sz w:val="24"/>
          <w:szCs w:val="24"/>
        </w:rPr>
        <w:t xml:space="preserve">    </w:t>
      </w:r>
    </w:p>
    <w:p w:rsidR="00977BD1" w:rsidRDefault="00977BD1">
      <w:pPr>
        <w:pStyle w:val="a5"/>
        <w:tabs>
          <w:tab w:val="left" w:pos="0"/>
        </w:tabs>
        <w:wordWrap w:val="0"/>
        <w:spacing w:after="0" w:line="440" w:lineRule="exact"/>
        <w:ind w:leftChars="0" w:left="0"/>
        <w:rPr>
          <w:rFonts w:ascii="华文细黑" w:eastAsia="华文细黑" w:hAnsi="华文细黑" w:cs="华文细黑"/>
          <w:sz w:val="24"/>
          <w:szCs w:val="24"/>
        </w:rPr>
      </w:pPr>
    </w:p>
    <w:p w:rsidR="00977BD1" w:rsidRDefault="00977BD1">
      <w:pPr>
        <w:pStyle w:val="a5"/>
        <w:tabs>
          <w:tab w:val="left" w:pos="0"/>
        </w:tabs>
        <w:wordWrap w:val="0"/>
        <w:spacing w:after="0" w:line="440" w:lineRule="exact"/>
        <w:ind w:leftChars="0" w:left="0"/>
        <w:rPr>
          <w:rFonts w:ascii="华文细黑" w:eastAsia="华文细黑" w:hAnsi="华文细黑" w:cs="华文细黑"/>
          <w:sz w:val="24"/>
          <w:szCs w:val="24"/>
        </w:rPr>
      </w:pPr>
    </w:p>
    <w:p w:rsidR="00977BD1" w:rsidRDefault="00977BD1">
      <w:pPr>
        <w:pStyle w:val="a5"/>
        <w:tabs>
          <w:tab w:val="left" w:pos="0"/>
        </w:tabs>
        <w:wordWrap w:val="0"/>
        <w:spacing w:after="0" w:line="440" w:lineRule="exact"/>
        <w:ind w:leftChars="0" w:left="0"/>
        <w:rPr>
          <w:rFonts w:ascii="华文细黑" w:eastAsia="华文细黑" w:hAnsi="华文细黑" w:cs="华文细黑"/>
          <w:sz w:val="24"/>
          <w:szCs w:val="24"/>
        </w:rPr>
      </w:pPr>
    </w:p>
    <w:p w:rsidR="00977BD1" w:rsidRDefault="008567A1">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 xml:space="preserve">                                                     浙江省肿瘤医院</w:t>
      </w:r>
    </w:p>
    <w:p w:rsidR="00977BD1" w:rsidRDefault="008567A1">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 xml:space="preserve">                                                    2018年8月</w:t>
      </w:r>
      <w:r w:rsidR="00EA287D">
        <w:rPr>
          <w:rFonts w:ascii="华文细黑" w:eastAsia="华文细黑" w:hAnsi="华文细黑" w:cs="华文细黑" w:hint="eastAsia"/>
          <w:sz w:val="24"/>
          <w:szCs w:val="24"/>
        </w:rPr>
        <w:t>8</w:t>
      </w:r>
      <w:r>
        <w:rPr>
          <w:rFonts w:ascii="华文细黑" w:eastAsia="华文细黑" w:hAnsi="华文细黑" w:cs="华文细黑" w:hint="eastAsia"/>
          <w:sz w:val="24"/>
          <w:szCs w:val="24"/>
        </w:rPr>
        <w:t>日</w:t>
      </w:r>
    </w:p>
    <w:p w:rsidR="00977BD1" w:rsidRDefault="008567A1">
      <w:pPr>
        <w:pStyle w:val="a5"/>
        <w:tabs>
          <w:tab w:val="left" w:pos="0"/>
        </w:tabs>
        <w:wordWrap w:val="0"/>
        <w:spacing w:after="0" w:line="440" w:lineRule="exact"/>
        <w:ind w:leftChars="0" w:left="0"/>
      </w:pPr>
      <w:r>
        <w:rPr>
          <w:rFonts w:hint="eastAsia"/>
        </w:rPr>
        <w:br w:type="page"/>
      </w:r>
    </w:p>
    <w:p w:rsidR="00977BD1" w:rsidRDefault="008567A1">
      <w:pPr>
        <w:spacing w:line="520" w:lineRule="exact"/>
        <w:rPr>
          <w:rFonts w:ascii="华文中宋" w:eastAsia="华文中宋" w:hAnsi="华文中宋" w:cs="华文中宋"/>
          <w:sz w:val="24"/>
          <w:szCs w:val="24"/>
        </w:rPr>
      </w:pPr>
      <w:r>
        <w:rPr>
          <w:rFonts w:ascii="华文中宋" w:eastAsia="华文中宋" w:hAnsi="华文中宋" w:cs="华文中宋" w:hint="eastAsia"/>
          <w:b/>
          <w:sz w:val="24"/>
          <w:szCs w:val="24"/>
        </w:rPr>
        <w:lastRenderedPageBreak/>
        <w:t>附件：</w:t>
      </w:r>
    </w:p>
    <w:p w:rsidR="00977BD1" w:rsidRDefault="008567A1">
      <w:pPr>
        <w:spacing w:line="520" w:lineRule="exact"/>
        <w:jc w:val="center"/>
        <w:rPr>
          <w:rFonts w:ascii="华文中宋" w:eastAsia="华文中宋" w:hAnsi="华文中宋" w:cs="华文中宋"/>
          <w:b/>
          <w:bCs/>
          <w:sz w:val="28"/>
          <w:szCs w:val="28"/>
        </w:rPr>
      </w:pPr>
      <w:r>
        <w:rPr>
          <w:rFonts w:ascii="华文中宋" w:eastAsia="华文中宋" w:hAnsi="华文中宋" w:cs="华文中宋" w:hint="eastAsia"/>
          <w:b/>
          <w:bCs/>
          <w:sz w:val="28"/>
          <w:szCs w:val="28"/>
        </w:rPr>
        <w:t>本次议标评标办法</w:t>
      </w:r>
    </w:p>
    <w:p w:rsidR="00977BD1" w:rsidRDefault="008567A1">
      <w:pPr>
        <w:spacing w:line="520" w:lineRule="exact"/>
        <w:rPr>
          <w:rFonts w:ascii="华文中宋" w:eastAsia="华文中宋" w:hAnsi="华文中宋" w:cs="华文中宋"/>
          <w:b/>
          <w:bCs/>
          <w:szCs w:val="21"/>
        </w:rPr>
      </w:pPr>
      <w:r>
        <w:rPr>
          <w:rFonts w:ascii="华文中宋" w:eastAsia="华文中宋" w:hAnsi="华文中宋" w:cs="华文中宋" w:hint="eastAsia"/>
          <w:b/>
          <w:bCs/>
          <w:szCs w:val="21"/>
        </w:rPr>
        <w:t>1、评标纪律</w:t>
      </w:r>
    </w:p>
    <w:p w:rsidR="00977BD1" w:rsidRDefault="008567A1">
      <w:pPr>
        <w:spacing w:line="520" w:lineRule="exact"/>
        <w:rPr>
          <w:rFonts w:ascii="华文中宋" w:eastAsia="华文中宋" w:hAnsi="华文中宋" w:cs="华文中宋"/>
          <w:szCs w:val="21"/>
        </w:rPr>
      </w:pPr>
      <w:r>
        <w:rPr>
          <w:rFonts w:ascii="华文中宋" w:eastAsia="华文中宋" w:hAnsi="华文中宋" w:cs="华文中宋" w:hint="eastAsia"/>
          <w:szCs w:val="21"/>
        </w:rPr>
        <w:t>1.1．评标是招标工作的重要环节，评标工作在评标委员会内独立进行。评标委员会成员由采购人代表及专家组成。评标委员会将按照评标原则的要求，公正、平等地对待所有投标人。</w:t>
      </w:r>
    </w:p>
    <w:p w:rsidR="00977BD1" w:rsidRDefault="008567A1">
      <w:pPr>
        <w:spacing w:line="520" w:lineRule="exact"/>
        <w:rPr>
          <w:rFonts w:ascii="华文中宋" w:eastAsia="华文中宋" w:hAnsi="华文中宋" w:cs="华文中宋"/>
          <w:szCs w:val="21"/>
        </w:rPr>
      </w:pPr>
      <w:r>
        <w:rPr>
          <w:rFonts w:ascii="华文中宋" w:eastAsia="华文中宋" w:hAnsi="华文中宋" w:cs="华文中宋" w:hint="eastAsia"/>
          <w:szCs w:val="21"/>
        </w:rPr>
        <w:t>1.2．所有评标人员应忠于职守、廉洁自律、秉公办事、不徇私情。</w:t>
      </w:r>
    </w:p>
    <w:p w:rsidR="00977BD1" w:rsidRDefault="008567A1">
      <w:pPr>
        <w:spacing w:line="520" w:lineRule="exact"/>
        <w:rPr>
          <w:rFonts w:ascii="华文中宋" w:eastAsia="华文中宋" w:hAnsi="华文中宋" w:cs="华文中宋"/>
          <w:szCs w:val="21"/>
        </w:rPr>
      </w:pPr>
      <w:r>
        <w:rPr>
          <w:rFonts w:ascii="华文中宋" w:eastAsia="华文中宋" w:hAnsi="华文中宋" w:cs="华文中宋" w:hint="eastAsia"/>
          <w:szCs w:val="21"/>
        </w:rPr>
        <w:t>1.3．评标人员不得接受或参加投标人或与投标有关的单位、组织或个人的有碍公务的宴请、娱乐活动等，不得以任何形式弄虚作假。</w:t>
      </w:r>
    </w:p>
    <w:p w:rsidR="00977BD1" w:rsidRDefault="008567A1">
      <w:pPr>
        <w:spacing w:line="520" w:lineRule="exact"/>
        <w:rPr>
          <w:rFonts w:ascii="华文中宋" w:eastAsia="华文中宋" w:hAnsi="华文中宋" w:cs="华文中宋"/>
          <w:szCs w:val="21"/>
        </w:rPr>
      </w:pPr>
      <w:r>
        <w:rPr>
          <w:rFonts w:ascii="华文中宋" w:eastAsia="华文中宋" w:hAnsi="华文中宋" w:cs="华文中宋" w:hint="eastAsia"/>
          <w:szCs w:val="21"/>
        </w:rPr>
        <w:t>1.4．评标期间，评标人员不得随意出入评标地点、与外界通讯、会客等。</w:t>
      </w:r>
    </w:p>
    <w:p w:rsidR="00977BD1" w:rsidRDefault="008567A1">
      <w:pPr>
        <w:spacing w:line="520" w:lineRule="exact"/>
        <w:rPr>
          <w:rFonts w:ascii="华文中宋" w:eastAsia="华文中宋" w:hAnsi="华文中宋" w:cs="华文中宋"/>
          <w:szCs w:val="21"/>
        </w:rPr>
      </w:pPr>
      <w:r>
        <w:rPr>
          <w:rFonts w:ascii="华文中宋" w:eastAsia="华文中宋" w:hAnsi="华文中宋" w:cs="华文中宋" w:hint="eastAsia"/>
          <w:szCs w:val="21"/>
        </w:rPr>
        <w:t>1.5．在投标文件的审查、澄清、评价和比较以及授予合同的过程中，投标人对采购人、采购人人员及评标委员会成员施加影响的任何行为，都将导致被取消投标资格。</w:t>
      </w:r>
    </w:p>
    <w:p w:rsidR="00977BD1" w:rsidRDefault="008567A1">
      <w:pPr>
        <w:spacing w:line="520" w:lineRule="exact"/>
        <w:rPr>
          <w:rFonts w:ascii="华文中宋" w:eastAsia="华文中宋" w:hAnsi="华文中宋" w:cs="华文中宋"/>
          <w:szCs w:val="21"/>
        </w:rPr>
      </w:pPr>
      <w:r>
        <w:rPr>
          <w:rFonts w:ascii="华文中宋" w:eastAsia="华文中宋" w:hAnsi="华文中宋" w:cs="华文中宋" w:hint="eastAsia"/>
          <w:szCs w:val="21"/>
        </w:rPr>
        <w:t>1.6．为保证评标的公正性，在评标过程中，评标委员会成员不得与投标人或与中标结果有利害关系的人进行私下接触。在评标工作结束后，凡与评标情况有接触的任何人，不得将评标情况扩散出评标委员会以外。</w:t>
      </w:r>
    </w:p>
    <w:p w:rsidR="00977BD1" w:rsidRDefault="008567A1">
      <w:pPr>
        <w:spacing w:line="520" w:lineRule="exact"/>
        <w:rPr>
          <w:rFonts w:ascii="华文中宋" w:eastAsia="华文中宋" w:hAnsi="华文中宋" w:cs="华文中宋"/>
          <w:szCs w:val="21"/>
        </w:rPr>
      </w:pPr>
      <w:r>
        <w:rPr>
          <w:rFonts w:ascii="华文中宋" w:eastAsia="华文中宋" w:hAnsi="华文中宋" w:cs="华文中宋" w:hint="eastAsia"/>
          <w:szCs w:val="21"/>
        </w:rPr>
        <w:t>1.7．评标过程中，当发表结论性意见时，先听取专家评委意见，用户评委随后发表意见。</w:t>
      </w:r>
    </w:p>
    <w:p w:rsidR="00977BD1" w:rsidRDefault="008567A1">
      <w:pPr>
        <w:spacing w:line="520" w:lineRule="exact"/>
        <w:rPr>
          <w:rFonts w:ascii="华文中宋" w:eastAsia="华文中宋" w:hAnsi="华文中宋" w:cs="华文中宋"/>
          <w:szCs w:val="21"/>
        </w:rPr>
      </w:pPr>
      <w:r>
        <w:rPr>
          <w:rFonts w:ascii="华文中宋" w:eastAsia="华文中宋" w:hAnsi="华文中宋" w:cs="华文中宋" w:hint="eastAsia"/>
          <w:szCs w:val="21"/>
        </w:rPr>
        <w:t>1.8．评标结束后，各评标人员应将全部资料整理上交采购人，严禁将评标过程中的任何资料带出评标现场向投标人或其他单位提供。</w:t>
      </w:r>
    </w:p>
    <w:p w:rsidR="00977BD1" w:rsidRDefault="008567A1">
      <w:pPr>
        <w:spacing w:line="520" w:lineRule="exact"/>
        <w:rPr>
          <w:rFonts w:ascii="华文中宋" w:eastAsia="华文中宋" w:hAnsi="华文中宋" w:cs="华文中宋"/>
          <w:szCs w:val="21"/>
        </w:rPr>
      </w:pPr>
      <w:r>
        <w:rPr>
          <w:rFonts w:ascii="华文中宋" w:eastAsia="华文中宋" w:hAnsi="华文中宋" w:cs="华文中宋" w:hint="eastAsia"/>
          <w:szCs w:val="21"/>
        </w:rPr>
        <w:t>1.9．在定标结果公布前应对评标委员会成员名单予以保密。</w:t>
      </w:r>
    </w:p>
    <w:p w:rsidR="00977BD1" w:rsidRDefault="008567A1">
      <w:pPr>
        <w:spacing w:line="520" w:lineRule="exact"/>
        <w:rPr>
          <w:rFonts w:ascii="华文中宋" w:eastAsia="华文中宋" w:hAnsi="华文中宋" w:cs="华文中宋"/>
          <w:szCs w:val="21"/>
        </w:rPr>
      </w:pPr>
      <w:r>
        <w:rPr>
          <w:rFonts w:ascii="华文中宋" w:eastAsia="华文中宋" w:hAnsi="华文中宋" w:cs="华文中宋" w:hint="eastAsia"/>
          <w:szCs w:val="21"/>
        </w:rPr>
        <w:t>1.10．评标委员会对各投标人的商业秘密予以保密。</w:t>
      </w:r>
    </w:p>
    <w:p w:rsidR="00977BD1" w:rsidRDefault="008567A1">
      <w:pPr>
        <w:spacing w:line="520" w:lineRule="exact"/>
        <w:rPr>
          <w:rFonts w:ascii="华文中宋" w:eastAsia="华文中宋" w:hAnsi="华文中宋" w:cs="华文中宋"/>
          <w:szCs w:val="21"/>
        </w:rPr>
      </w:pPr>
      <w:r>
        <w:rPr>
          <w:rFonts w:ascii="华文中宋" w:eastAsia="华文中宋" w:hAnsi="华文中宋" w:cs="华文中宋" w:hint="eastAsia"/>
          <w:szCs w:val="21"/>
        </w:rPr>
        <w:t>1.11．评标委员会成员应当客观、公正地履行职责，遵守职业道德，对所提出的评审意见承担个人责任。</w:t>
      </w:r>
    </w:p>
    <w:p w:rsidR="00977BD1" w:rsidRDefault="008567A1">
      <w:pPr>
        <w:spacing w:line="520" w:lineRule="exact"/>
        <w:rPr>
          <w:rFonts w:ascii="华文中宋" w:eastAsia="华文中宋" w:hAnsi="华文中宋" w:cs="华文中宋"/>
          <w:szCs w:val="21"/>
        </w:rPr>
      </w:pPr>
      <w:r>
        <w:rPr>
          <w:rFonts w:ascii="华文中宋" w:eastAsia="华文中宋" w:hAnsi="华文中宋" w:cs="华文中宋" w:hint="eastAsia"/>
          <w:szCs w:val="21"/>
        </w:rPr>
        <w:t>1.12．在整个评标过程中，投标人企图影响采购结果的任何活动，可能导致其投标失败。如有违法行为，将依法追究其法律责任。</w:t>
      </w:r>
    </w:p>
    <w:p w:rsidR="00977BD1" w:rsidRDefault="008567A1">
      <w:pPr>
        <w:spacing w:line="520" w:lineRule="exact"/>
        <w:rPr>
          <w:rFonts w:ascii="华文中宋" w:eastAsia="华文中宋" w:hAnsi="华文中宋" w:cs="华文中宋"/>
          <w:b/>
          <w:bCs/>
          <w:szCs w:val="21"/>
        </w:rPr>
      </w:pPr>
      <w:r>
        <w:rPr>
          <w:rFonts w:ascii="华文中宋" w:eastAsia="华文中宋" w:hAnsi="华文中宋" w:cs="华文中宋" w:hint="eastAsia"/>
          <w:b/>
          <w:bCs/>
          <w:szCs w:val="21"/>
        </w:rPr>
        <w:t>2、关于评标</w:t>
      </w:r>
    </w:p>
    <w:p w:rsidR="00977BD1" w:rsidRDefault="008567A1">
      <w:pPr>
        <w:spacing w:line="520" w:lineRule="exact"/>
        <w:rPr>
          <w:rFonts w:ascii="华文中宋" w:eastAsia="华文中宋" w:hAnsi="华文中宋" w:cs="华文中宋"/>
          <w:b/>
          <w:bCs/>
          <w:szCs w:val="21"/>
        </w:rPr>
      </w:pPr>
      <w:r>
        <w:rPr>
          <w:rFonts w:ascii="华文中宋" w:eastAsia="华文中宋" w:hAnsi="华文中宋" w:cs="华文中宋" w:hint="eastAsia"/>
          <w:b/>
          <w:bCs/>
          <w:szCs w:val="21"/>
        </w:rPr>
        <w:t>2.1报价分40分：</w:t>
      </w:r>
    </w:p>
    <w:p w:rsidR="00977BD1" w:rsidRDefault="008567A1">
      <w:pPr>
        <w:spacing w:line="520" w:lineRule="exact"/>
        <w:ind w:firstLineChars="200" w:firstLine="420"/>
        <w:rPr>
          <w:rFonts w:ascii="华文中宋" w:eastAsia="华文中宋" w:hAnsi="华文中宋" w:cs="华文中宋"/>
          <w:szCs w:val="21"/>
        </w:rPr>
      </w:pPr>
      <w:r>
        <w:rPr>
          <w:rFonts w:ascii="华文中宋" w:eastAsia="华文中宋" w:hAnsi="华文中宋" w:cs="华文中宋" w:hint="eastAsia"/>
          <w:szCs w:val="21"/>
        </w:rPr>
        <w:t>满足招标文件要求且投标价格最低的投标报价为评标基准价，其价格分为满分。各个供</w:t>
      </w:r>
      <w:r>
        <w:rPr>
          <w:rFonts w:ascii="华文中宋" w:eastAsia="华文中宋" w:hAnsi="华文中宋" w:cs="华文中宋" w:hint="eastAsia"/>
          <w:szCs w:val="21"/>
        </w:rPr>
        <w:lastRenderedPageBreak/>
        <w:t>应商的投标价与评标基准价相比，计算出投标报价得分。</w:t>
      </w:r>
    </w:p>
    <w:p w:rsidR="00977BD1" w:rsidRDefault="008567A1">
      <w:pPr>
        <w:spacing w:line="520" w:lineRule="exact"/>
        <w:ind w:firstLineChars="200" w:firstLine="420"/>
        <w:rPr>
          <w:rFonts w:ascii="华文中宋" w:eastAsia="华文中宋" w:hAnsi="华文中宋" w:cs="华文中宋"/>
          <w:szCs w:val="21"/>
        </w:rPr>
      </w:pPr>
      <w:r>
        <w:rPr>
          <w:rFonts w:ascii="华文中宋" w:eastAsia="华文中宋" w:hAnsi="华文中宋" w:cs="华文中宋" w:hint="eastAsia"/>
          <w:szCs w:val="21"/>
        </w:rPr>
        <w:t>投标报价得分=(评标基准价／投标报价)×30%×100</w:t>
      </w:r>
    </w:p>
    <w:p w:rsidR="00977BD1" w:rsidRDefault="008567A1">
      <w:pPr>
        <w:spacing w:line="520" w:lineRule="exact"/>
        <w:ind w:firstLineChars="200" w:firstLine="420"/>
        <w:rPr>
          <w:rFonts w:ascii="华文中宋" w:eastAsia="华文中宋" w:hAnsi="华文中宋" w:cs="华文中宋"/>
          <w:szCs w:val="21"/>
        </w:rPr>
      </w:pPr>
      <w:r>
        <w:rPr>
          <w:rFonts w:ascii="华文中宋" w:eastAsia="华文中宋" w:hAnsi="华文中宋" w:cs="华文中宋" w:hint="eastAsia"/>
          <w:szCs w:val="21"/>
        </w:rPr>
        <w:t>注：以上评分保留小数2位。</w:t>
      </w:r>
    </w:p>
    <w:p w:rsidR="00977BD1" w:rsidRDefault="008567A1">
      <w:pPr>
        <w:spacing w:line="520" w:lineRule="exact"/>
        <w:rPr>
          <w:rFonts w:ascii="华文中宋" w:eastAsia="华文中宋" w:hAnsi="华文中宋" w:cs="华文中宋"/>
          <w:b/>
          <w:bCs/>
          <w:szCs w:val="21"/>
        </w:rPr>
      </w:pPr>
      <w:r>
        <w:rPr>
          <w:rFonts w:ascii="华文中宋" w:eastAsia="华文中宋" w:hAnsi="华文中宋" w:cs="华文中宋" w:hint="eastAsia"/>
          <w:b/>
          <w:bCs/>
          <w:szCs w:val="21"/>
        </w:rPr>
        <w:t>2.2商务分10分：</w:t>
      </w:r>
    </w:p>
    <w:p w:rsidR="00977BD1" w:rsidRDefault="008567A1">
      <w:pPr>
        <w:numPr>
          <w:ilvl w:val="0"/>
          <w:numId w:val="2"/>
        </w:numPr>
        <w:spacing w:line="520" w:lineRule="exact"/>
        <w:ind w:firstLineChars="200" w:firstLine="420"/>
        <w:rPr>
          <w:rFonts w:ascii="华文中宋" w:eastAsia="华文中宋" w:hAnsi="华文中宋" w:cs="华文中宋"/>
          <w:szCs w:val="21"/>
        </w:rPr>
      </w:pPr>
      <w:r>
        <w:rPr>
          <w:rFonts w:ascii="华文中宋" w:eastAsia="华文中宋" w:hAnsi="华文中宋" w:cs="华文中宋" w:hint="eastAsia"/>
          <w:szCs w:val="21"/>
        </w:rPr>
        <w:t>投标人自2015年7月1日以来（以合同签订时间为准）具有同类UPS电源供货项目业绩，每个业绩得2分，加满为止。此项以合同复印件加盖公章作为业绩证明材料。（6分）</w:t>
      </w:r>
    </w:p>
    <w:p w:rsidR="00977BD1" w:rsidRDefault="008567A1">
      <w:pPr>
        <w:numPr>
          <w:ilvl w:val="0"/>
          <w:numId w:val="2"/>
        </w:numPr>
        <w:spacing w:line="520" w:lineRule="exact"/>
        <w:ind w:firstLineChars="200" w:firstLine="420"/>
        <w:rPr>
          <w:rFonts w:ascii="华文中宋" w:eastAsia="华文中宋" w:hAnsi="华文中宋" w:cs="华文中宋"/>
          <w:szCs w:val="21"/>
        </w:rPr>
      </w:pPr>
      <w:r>
        <w:rPr>
          <w:rFonts w:ascii="华文中宋" w:eastAsia="华文中宋" w:hAnsi="华文中宋" w:cs="华文中宋" w:hint="eastAsia"/>
          <w:szCs w:val="21"/>
        </w:rPr>
        <w:t>具有ISO9001：2000国际质量管理体系认证和中国节能产品认证每项得1分，最高得2分。（2分）</w:t>
      </w:r>
    </w:p>
    <w:p w:rsidR="00977BD1" w:rsidRDefault="008567A1">
      <w:pPr>
        <w:numPr>
          <w:ilvl w:val="0"/>
          <w:numId w:val="2"/>
        </w:numPr>
        <w:spacing w:line="520" w:lineRule="exact"/>
        <w:ind w:firstLineChars="200" w:firstLine="420"/>
        <w:rPr>
          <w:rFonts w:ascii="华文中宋" w:eastAsia="华文中宋" w:hAnsi="华文中宋" w:cs="华文中宋"/>
          <w:szCs w:val="21"/>
        </w:rPr>
      </w:pPr>
      <w:r>
        <w:rPr>
          <w:rFonts w:ascii="华文中宋" w:eastAsia="华文中宋" w:hAnsi="华文中宋" w:cs="华文中宋" w:hint="eastAsia"/>
          <w:szCs w:val="21"/>
        </w:rPr>
        <w:t>承诺在原有三年质保期基础上增加质保期1年加1分，2年加2分，最高得2分。（2分）</w:t>
      </w:r>
    </w:p>
    <w:p w:rsidR="00977BD1" w:rsidRDefault="008567A1">
      <w:pPr>
        <w:spacing w:line="520" w:lineRule="exact"/>
        <w:rPr>
          <w:rFonts w:ascii="华文中宋" w:eastAsia="华文中宋" w:hAnsi="华文中宋" w:cs="华文中宋"/>
          <w:b/>
          <w:bCs/>
          <w:szCs w:val="21"/>
        </w:rPr>
      </w:pPr>
      <w:r>
        <w:rPr>
          <w:rFonts w:ascii="华文中宋" w:eastAsia="华文中宋" w:hAnsi="华文中宋" w:cs="华文中宋" w:hint="eastAsia"/>
          <w:b/>
          <w:bCs/>
          <w:szCs w:val="21"/>
        </w:rPr>
        <w:t>2.3技术分50分</w:t>
      </w:r>
    </w:p>
    <w:p w:rsidR="00977BD1" w:rsidRDefault="008567A1">
      <w:pPr>
        <w:spacing w:line="520" w:lineRule="exact"/>
        <w:rPr>
          <w:rFonts w:ascii="华文中宋" w:eastAsia="华文中宋" w:hAnsi="华文中宋" w:cs="华文中宋"/>
          <w:szCs w:val="21"/>
        </w:rPr>
      </w:pPr>
      <w:r>
        <w:rPr>
          <w:rFonts w:ascii="华文中宋" w:eastAsia="华文中宋" w:hAnsi="华文中宋" w:cs="华文中宋" w:hint="eastAsia"/>
          <w:szCs w:val="21"/>
        </w:rPr>
        <w:t xml:space="preserve">    各评委成员按下列评分项目进行评判，每人一张评分计算票，并记名。投标文件各项评分内容由评标委员会成员各自评分，如某张票的一个因素项目超过规定的范围，则该张票无效，无效票不影响评标过程。各评标委员会成员的算术平均值为各投标人技术资信分得分（小数点后按四舍五入保留2位）。各投标人的得分允许一致。        </w:t>
      </w:r>
    </w:p>
    <w:p w:rsidR="00977BD1" w:rsidRDefault="008567A1">
      <w:pPr>
        <w:spacing w:line="520" w:lineRule="exact"/>
        <w:ind w:firstLineChars="200" w:firstLine="420"/>
        <w:rPr>
          <w:rFonts w:ascii="华文中宋" w:eastAsia="华文中宋" w:hAnsi="华文中宋" w:cs="华文中宋"/>
          <w:szCs w:val="21"/>
        </w:rPr>
      </w:pPr>
      <w:r>
        <w:rPr>
          <w:rFonts w:ascii="华文中宋" w:eastAsia="华文中宋" w:hAnsi="华文中宋" w:cs="华文中宋" w:hint="eastAsia"/>
          <w:szCs w:val="21"/>
        </w:rPr>
        <w:t>（1）产品的品牌知名度及质量可靠性（10分）</w:t>
      </w:r>
    </w:p>
    <w:p w:rsidR="00977BD1" w:rsidRDefault="008567A1">
      <w:pPr>
        <w:spacing w:line="520" w:lineRule="exact"/>
        <w:ind w:firstLineChars="200" w:firstLine="420"/>
        <w:rPr>
          <w:rFonts w:ascii="华文中宋" w:eastAsia="华文中宋" w:hAnsi="华文中宋" w:cs="华文中宋"/>
          <w:szCs w:val="21"/>
        </w:rPr>
      </w:pPr>
      <w:r>
        <w:rPr>
          <w:rFonts w:ascii="华文中宋" w:eastAsia="华文中宋" w:hAnsi="华文中宋" w:cs="华文中宋" w:hint="eastAsia"/>
          <w:szCs w:val="21"/>
        </w:rPr>
        <w:t>（2）产品技术、投标人生产能力及供货包装运输保证（10分）</w:t>
      </w:r>
    </w:p>
    <w:p w:rsidR="00977BD1" w:rsidRDefault="008567A1">
      <w:pPr>
        <w:spacing w:line="520" w:lineRule="exact"/>
        <w:ind w:firstLineChars="200" w:firstLine="420"/>
        <w:rPr>
          <w:rFonts w:ascii="华文中宋" w:eastAsia="华文中宋" w:hAnsi="华文中宋" w:cs="华文中宋"/>
          <w:szCs w:val="21"/>
        </w:rPr>
      </w:pPr>
      <w:r>
        <w:rPr>
          <w:rFonts w:ascii="华文中宋" w:eastAsia="华文中宋" w:hAnsi="华文中宋" w:cs="华文中宋" w:hint="eastAsia"/>
          <w:szCs w:val="21"/>
        </w:rPr>
        <w:t>（3）针对医院的施工方案及保证措施是否具有针对性、是否科学合理（10分）</w:t>
      </w:r>
    </w:p>
    <w:p w:rsidR="00977BD1" w:rsidRDefault="008567A1">
      <w:pPr>
        <w:spacing w:line="520" w:lineRule="exact"/>
        <w:ind w:firstLineChars="200" w:firstLine="420"/>
        <w:rPr>
          <w:rFonts w:ascii="华文中宋" w:eastAsia="华文中宋" w:hAnsi="华文中宋" w:cs="华文中宋"/>
          <w:szCs w:val="21"/>
        </w:rPr>
      </w:pPr>
      <w:r>
        <w:rPr>
          <w:rFonts w:ascii="华文中宋" w:eastAsia="华文中宋" w:hAnsi="华文中宋" w:cs="华文中宋" w:hint="eastAsia"/>
          <w:szCs w:val="21"/>
        </w:rPr>
        <w:t>（4）派驻现场的技术管理人员、施工人员的专业配置是否合理（10分）</w:t>
      </w:r>
    </w:p>
    <w:p w:rsidR="00977BD1" w:rsidRDefault="008567A1">
      <w:pPr>
        <w:spacing w:line="520" w:lineRule="exact"/>
        <w:ind w:firstLineChars="200" w:firstLine="420"/>
        <w:rPr>
          <w:rFonts w:ascii="华文中宋" w:eastAsia="华文中宋" w:hAnsi="华文中宋" w:cs="华文中宋"/>
          <w:szCs w:val="21"/>
        </w:rPr>
      </w:pPr>
      <w:r>
        <w:rPr>
          <w:rFonts w:ascii="华文中宋" w:eastAsia="华文中宋" w:hAnsi="华文中宋" w:cs="华文中宋" w:hint="eastAsia"/>
          <w:szCs w:val="21"/>
        </w:rPr>
        <w:t>（5）售后技术服务及承诺。（10分）</w:t>
      </w:r>
    </w:p>
    <w:p w:rsidR="00977BD1" w:rsidRDefault="008567A1">
      <w:pPr>
        <w:spacing w:line="520" w:lineRule="exact"/>
        <w:rPr>
          <w:rFonts w:ascii="华文中宋" w:eastAsia="华文中宋" w:hAnsi="华文中宋" w:cs="华文中宋"/>
          <w:b/>
          <w:bCs/>
          <w:szCs w:val="21"/>
        </w:rPr>
      </w:pPr>
      <w:r>
        <w:rPr>
          <w:rFonts w:ascii="华文中宋" w:eastAsia="华文中宋" w:hAnsi="华文中宋" w:cs="华文中宋" w:hint="eastAsia"/>
          <w:b/>
          <w:bCs/>
          <w:szCs w:val="21"/>
        </w:rPr>
        <w:t>3、其他</w:t>
      </w:r>
    </w:p>
    <w:p w:rsidR="00977BD1" w:rsidRDefault="008567A1">
      <w:pPr>
        <w:spacing w:line="520" w:lineRule="exact"/>
      </w:pPr>
      <w:r>
        <w:rPr>
          <w:rFonts w:ascii="华文中宋" w:eastAsia="华文中宋" w:hAnsi="华文中宋" w:cs="华文中宋" w:hint="eastAsia"/>
          <w:szCs w:val="21"/>
        </w:rPr>
        <w:t xml:space="preserve">    2.2，2.3 项由各评标专家分别打分，各投标单位的最终评分值取各专家评分的平均值。报价分、技术分、商务分得分相加后为各投标单位的总得分。总得分最高和次高的投标单位为第一、第二中标候选单位。总得分相同则按商务报价得分的高低顺序排名次，高的为第一中标候选人。</w:t>
      </w:r>
    </w:p>
    <w:sectPr w:rsidR="00977BD1" w:rsidSect="00977BD1">
      <w:headerReference w:type="default" r:id="rId12"/>
      <w:footerReference w:type="default" r:id="rId13"/>
      <w:headerReference w:type="first" r:id="rId14"/>
      <w:footerReference w:type="first" r:id="rId15"/>
      <w:pgSz w:w="11906" w:h="16838"/>
      <w:pgMar w:top="1440" w:right="1800" w:bottom="1440"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341" w:rsidRDefault="00611341" w:rsidP="00977BD1">
      <w:r>
        <w:separator/>
      </w:r>
    </w:p>
  </w:endnote>
  <w:endnote w:type="continuationSeparator" w:id="0">
    <w:p w:rsidR="00611341" w:rsidRDefault="00611341" w:rsidP="00977B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BD1" w:rsidRDefault="0072100D">
    <w:pPr>
      <w:pStyle w:val="a7"/>
      <w:framePr w:wrap="around" w:vAnchor="text" w:hAnchor="margin" w:xAlign="center" w:y="2"/>
      <w:rPr>
        <w:rStyle w:val="aa"/>
      </w:rPr>
    </w:pPr>
    <w:r>
      <w:fldChar w:fldCharType="begin"/>
    </w:r>
    <w:r w:rsidR="008567A1">
      <w:rPr>
        <w:rStyle w:val="aa"/>
      </w:rPr>
      <w:instrText xml:space="preserve">PAGE  </w:instrText>
    </w:r>
    <w:r>
      <w:fldChar w:fldCharType="end"/>
    </w:r>
  </w:p>
  <w:p w:rsidR="00977BD1" w:rsidRDefault="00977BD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BD1" w:rsidRDefault="00977BD1">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BD1" w:rsidRDefault="0072100D">
    <w:pPr>
      <w:pStyle w:val="a7"/>
      <w:jc w:val="center"/>
    </w:pPr>
    <w:r>
      <w:fldChar w:fldCharType="begin"/>
    </w:r>
    <w:r w:rsidR="008567A1">
      <w:rPr>
        <w:rStyle w:val="aa"/>
      </w:rPr>
      <w:instrText xml:space="preserve"> PAGE </w:instrText>
    </w:r>
    <w:r>
      <w:fldChar w:fldCharType="separate"/>
    </w:r>
    <w:r w:rsidR="00D60FA9">
      <w:rPr>
        <w:rStyle w:val="aa"/>
        <w:noProof/>
      </w:rPr>
      <w:t>1</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BD1" w:rsidRDefault="00977BD1">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BD1" w:rsidRDefault="00977BD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341" w:rsidRDefault="00611341" w:rsidP="00977BD1">
      <w:r>
        <w:separator/>
      </w:r>
    </w:p>
  </w:footnote>
  <w:footnote w:type="continuationSeparator" w:id="0">
    <w:p w:rsidR="00611341" w:rsidRDefault="00611341" w:rsidP="00977B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BD1" w:rsidRDefault="00977BD1">
    <w:pPr>
      <w:pStyle w:val="a8"/>
      <w:pBdr>
        <w:bottom w:val="single" w:sz="6"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BD1" w:rsidRDefault="00977BD1">
    <w:pPr>
      <w:pStyle w:val="a8"/>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BD1" w:rsidRDefault="00977BD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FBD2CF"/>
    <w:multiLevelType w:val="singleLevel"/>
    <w:tmpl w:val="9DFBD2CF"/>
    <w:lvl w:ilvl="0">
      <w:start w:val="1"/>
      <w:numFmt w:val="decimal"/>
      <w:suff w:val="nothing"/>
      <w:lvlText w:val="（%1）"/>
      <w:lvlJc w:val="left"/>
    </w:lvl>
  </w:abstractNum>
  <w:abstractNum w:abstractNumId="1">
    <w:nsid w:val="C015C547"/>
    <w:multiLevelType w:val="singleLevel"/>
    <w:tmpl w:val="C015C547"/>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8FC7F3D"/>
    <w:rsid w:val="003669A3"/>
    <w:rsid w:val="005F5E1C"/>
    <w:rsid w:val="00611341"/>
    <w:rsid w:val="0072100D"/>
    <w:rsid w:val="008567A1"/>
    <w:rsid w:val="00977BD1"/>
    <w:rsid w:val="00D60FA9"/>
    <w:rsid w:val="00EA287D"/>
    <w:rsid w:val="07C904D2"/>
    <w:rsid w:val="07CD72E2"/>
    <w:rsid w:val="09AC7B34"/>
    <w:rsid w:val="13AA5AD0"/>
    <w:rsid w:val="1E755027"/>
    <w:rsid w:val="25F76C1E"/>
    <w:rsid w:val="26212EF7"/>
    <w:rsid w:val="27622B4F"/>
    <w:rsid w:val="2BF96F6F"/>
    <w:rsid w:val="2D6B50D0"/>
    <w:rsid w:val="347D0A86"/>
    <w:rsid w:val="353324D4"/>
    <w:rsid w:val="38EF7149"/>
    <w:rsid w:val="38FC7F3D"/>
    <w:rsid w:val="3A140A17"/>
    <w:rsid w:val="49D32A72"/>
    <w:rsid w:val="4AAC6732"/>
    <w:rsid w:val="50860636"/>
    <w:rsid w:val="57E906EE"/>
    <w:rsid w:val="64C17567"/>
    <w:rsid w:val="66E50B7D"/>
    <w:rsid w:val="67564F5E"/>
    <w:rsid w:val="67832C8C"/>
    <w:rsid w:val="78B100C2"/>
    <w:rsid w:val="7D1619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7BD1"/>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977BD1"/>
    <w:pPr>
      <w:widowControl/>
      <w:adjustRightInd w:val="0"/>
      <w:snapToGrid w:val="0"/>
      <w:spacing w:line="480" w:lineRule="exact"/>
      <w:ind w:firstLine="567"/>
    </w:pPr>
    <w:rPr>
      <w:rFonts w:ascii="宋体"/>
      <w:snapToGrid w:val="0"/>
      <w:color w:val="000000"/>
      <w:kern w:val="28"/>
      <w:sz w:val="28"/>
      <w:szCs w:val="20"/>
    </w:rPr>
  </w:style>
  <w:style w:type="paragraph" w:styleId="a4">
    <w:name w:val="Body Text"/>
    <w:basedOn w:val="a"/>
    <w:qFormat/>
    <w:rsid w:val="00977BD1"/>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styleId="a5">
    <w:name w:val="Body Text Indent"/>
    <w:basedOn w:val="a"/>
    <w:qFormat/>
    <w:rsid w:val="00977BD1"/>
    <w:pPr>
      <w:spacing w:after="120"/>
      <w:ind w:leftChars="200" w:left="420"/>
    </w:pPr>
  </w:style>
  <w:style w:type="paragraph" w:styleId="a6">
    <w:name w:val="Plain Text"/>
    <w:basedOn w:val="a"/>
    <w:qFormat/>
    <w:rsid w:val="00977BD1"/>
    <w:rPr>
      <w:rFonts w:ascii="宋体" w:hAnsi="Courier New"/>
      <w:szCs w:val="20"/>
    </w:rPr>
  </w:style>
  <w:style w:type="paragraph" w:styleId="a7">
    <w:name w:val="footer"/>
    <w:basedOn w:val="a"/>
    <w:qFormat/>
    <w:rsid w:val="00977BD1"/>
    <w:pPr>
      <w:tabs>
        <w:tab w:val="center" w:pos="4153"/>
        <w:tab w:val="right" w:pos="8306"/>
      </w:tabs>
      <w:adjustRightInd w:val="0"/>
      <w:spacing w:line="240" w:lineRule="atLeast"/>
      <w:jc w:val="left"/>
      <w:textAlignment w:val="baseline"/>
    </w:pPr>
    <w:rPr>
      <w:kern w:val="0"/>
      <w:sz w:val="18"/>
    </w:rPr>
  </w:style>
  <w:style w:type="paragraph" w:styleId="a8">
    <w:name w:val="header"/>
    <w:basedOn w:val="a"/>
    <w:qFormat/>
    <w:rsid w:val="00977BD1"/>
    <w:pPr>
      <w:pBdr>
        <w:bottom w:val="single" w:sz="6" w:space="1" w:color="auto"/>
      </w:pBdr>
      <w:tabs>
        <w:tab w:val="center" w:pos="4153"/>
        <w:tab w:val="right" w:pos="8306"/>
      </w:tabs>
      <w:adjustRightInd w:val="0"/>
      <w:spacing w:line="240" w:lineRule="atLeast"/>
      <w:jc w:val="center"/>
      <w:textAlignment w:val="baseline"/>
    </w:pPr>
    <w:rPr>
      <w:kern w:val="0"/>
      <w:sz w:val="18"/>
    </w:rPr>
  </w:style>
  <w:style w:type="paragraph" w:styleId="a9">
    <w:name w:val="Normal (Web)"/>
    <w:basedOn w:val="a"/>
    <w:qFormat/>
    <w:rsid w:val="00977BD1"/>
    <w:pPr>
      <w:widowControl/>
      <w:spacing w:beforeAutospacing="1" w:afterAutospacing="1"/>
      <w:jc w:val="left"/>
    </w:pPr>
    <w:rPr>
      <w:rFonts w:ascii="宋体" w:hAnsi="宋体" w:cs="宋体"/>
      <w:kern w:val="0"/>
      <w:sz w:val="24"/>
    </w:rPr>
  </w:style>
  <w:style w:type="character" w:styleId="aa">
    <w:name w:val="page number"/>
    <w:basedOn w:val="a0"/>
    <w:qFormat/>
    <w:rsid w:val="00977BD1"/>
  </w:style>
  <w:style w:type="paragraph" w:customStyle="1" w:styleId="2">
    <w:name w:val="正文2"/>
    <w:basedOn w:val="a"/>
    <w:qFormat/>
    <w:rsid w:val="00977BD1"/>
    <w:pPr>
      <w:spacing w:line="360" w:lineRule="auto"/>
      <w:ind w:firstLineChars="200" w:firstLine="510"/>
    </w:pPr>
    <w:rPr>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700</Words>
  <Characters>3991</Characters>
  <Application>Microsoft Office Word</Application>
  <DocSecurity>0</DocSecurity>
  <Lines>33</Lines>
  <Paragraphs>9</Paragraphs>
  <ScaleCrop>false</ScaleCrop>
  <Company/>
  <LinksUpToDate>false</LinksUpToDate>
  <CharactersWithSpaces>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Hami猫不迷糊</dc:creator>
  <cp:lastModifiedBy>Administrator</cp:lastModifiedBy>
  <cp:revision>6</cp:revision>
  <cp:lastPrinted>2018-08-02T03:17:00Z</cp:lastPrinted>
  <dcterms:created xsi:type="dcterms:W3CDTF">2017-12-13T02:32:00Z</dcterms:created>
  <dcterms:modified xsi:type="dcterms:W3CDTF">2018-08-15T09:06:00Z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