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eastAsia="zh-CN"/>
          <w14:shadow w14:blurRad="50800" w14:dist="38100" w14:dir="2700000" w14:sx="100000" w14:sy="100000" w14:kx="0" w14:ky="0" w14:algn="tl">
            <w14:srgbClr w14:val="000000">
              <w14:alpha w14:val="60000"/>
            </w14:srgbClr>
          </w14:shadow>
        </w:rPr>
        <w:t>招</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标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pP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浙江省肿瘤医院</w:t>
      </w:r>
      <w:r>
        <w:rPr>
          <w:rFonts w:hint="eastAsia" w:ascii="宋体" w:hAnsi="宋体" w:cs="宋体"/>
          <w:sz w:val="48"/>
          <w:u w:val="single"/>
          <w:lang w:val="en-US" w:eastAsia="zh-CN"/>
          <w14:shadow w14:blurRad="50800" w14:dist="38100" w14:dir="2700000" w14:sx="100000" w14:sy="100000" w14:kx="0" w14:ky="0" w14:algn="tl">
            <w14:srgbClr w14:val="000000">
              <w14:alpha w14:val="60000"/>
            </w14:srgbClr>
          </w14:shadow>
        </w:rPr>
        <w:t>安全阀采购</w:t>
      </w: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二○一</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八</w:t>
      </w:r>
      <w:r>
        <w:rPr>
          <w:rFonts w:hint="eastAsia" w:ascii="宋体" w:hAnsi="宋体" w:eastAsia="宋体" w:cs="宋体"/>
          <w:sz w:val="32"/>
          <w14:shadow w14:blurRad="50800" w14:dist="38100" w14:dir="2700000" w14:sx="100000" w14:sy="100000" w14:kx="0" w14:ky="0" w14:algn="tl">
            <w14:srgbClr w14:val="000000">
              <w14:alpha w14:val="60000"/>
            </w14:srgbClr>
          </w14:shadow>
        </w:rPr>
        <w:t>年</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三</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3"/>
        <w:keepNext w:val="0"/>
        <w:keepLines w:val="0"/>
        <w:pageBreakBefore w:val="0"/>
        <w:kinsoku/>
        <w:overflowPunct/>
        <w:topLinePunct w:val="0"/>
        <w:autoSpaceDE/>
        <w:autoSpaceDN/>
        <w:bidi w:val="0"/>
        <w:adjustRightInd/>
        <w:snapToGrid/>
        <w:spacing w:before="0" w:beforeAutospacing="0" w:after="0" w:afterAutospacing="0" w:line="440" w:lineRule="exact"/>
        <w:ind w:left="360" w:right="0" w:rightChars="0" w:hanging="360" w:hangingChars="10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b/>
          <w:bCs/>
          <w:sz w:val="36"/>
          <w:szCs w:val="36"/>
          <w:lang w:val="zh-CN"/>
        </w:rPr>
        <w:t>浙江省肿瘤医院</w:t>
      </w:r>
      <w:r>
        <w:rPr>
          <w:rFonts w:hint="eastAsia" w:ascii="华文细黑" w:hAnsi="华文细黑" w:eastAsia="华文细黑" w:cs="华文细黑"/>
          <w:b/>
          <w:bCs/>
          <w:sz w:val="36"/>
          <w:szCs w:val="36"/>
          <w:lang w:val="en-US" w:eastAsia="zh-CN"/>
        </w:rPr>
        <w:t>安全阀采购项目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bookmarkStart w:id="0" w:name="_GoBack"/>
      <w:r>
        <w:rPr>
          <w:rFonts w:hint="eastAsia" w:ascii="华文细黑" w:hAnsi="华文细黑" w:eastAsia="华文细黑" w:cs="华文细黑"/>
          <w:color w:val="auto"/>
          <w:sz w:val="24"/>
          <w:szCs w:val="24"/>
        </w:rPr>
        <w:t>我院拟采取公开招标议价谈判方式，完成浙江省肿瘤医院安全阀采购项目招标。但因</w:t>
      </w:r>
      <w:r>
        <w:rPr>
          <w:rFonts w:hint="eastAsia" w:ascii="华文细黑" w:hAnsi="华文细黑" w:eastAsia="华文细黑" w:cs="华文细黑"/>
          <w:color w:val="auto"/>
          <w:sz w:val="24"/>
          <w:szCs w:val="24"/>
          <w:lang w:val="en-US" w:eastAsia="zh-CN"/>
        </w:rPr>
        <w:t>实际</w:t>
      </w:r>
      <w:r>
        <w:rPr>
          <w:rFonts w:hint="eastAsia" w:ascii="华文细黑" w:hAnsi="华文细黑" w:eastAsia="华文细黑" w:cs="华文细黑"/>
          <w:color w:val="auto"/>
          <w:sz w:val="24"/>
          <w:szCs w:val="24"/>
        </w:rPr>
        <w:t>报名单位不足三家，无法正常开标，特此将有关事项</w:t>
      </w:r>
      <w:r>
        <w:rPr>
          <w:rFonts w:hint="eastAsia" w:ascii="华文细黑" w:hAnsi="华文细黑" w:eastAsia="华文细黑" w:cs="华文细黑"/>
          <w:color w:val="auto"/>
          <w:sz w:val="24"/>
          <w:szCs w:val="24"/>
          <w:lang w:val="en-US" w:eastAsia="zh-CN"/>
        </w:rPr>
        <w:t>三</w:t>
      </w:r>
      <w:r>
        <w:rPr>
          <w:rFonts w:hint="eastAsia" w:ascii="华文细黑" w:hAnsi="华文细黑" w:eastAsia="华文细黑" w:cs="华文细黑"/>
          <w:color w:val="auto"/>
          <w:sz w:val="24"/>
          <w:szCs w:val="24"/>
        </w:rPr>
        <w:t>次公告如下：：</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一、项目名称和</w:t>
      </w:r>
      <w:r>
        <w:rPr>
          <w:rFonts w:hint="eastAsia" w:ascii="华文细黑" w:hAnsi="华文细黑" w:eastAsia="华文细黑" w:cs="华文细黑"/>
          <w:b/>
          <w:bCs/>
          <w:color w:val="auto"/>
          <w:sz w:val="24"/>
          <w:szCs w:val="24"/>
          <w:lang w:val="en-US" w:eastAsia="zh-CN"/>
        </w:rPr>
        <w:t>质量保证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项目名称：浙江省肿瘤医院</w:t>
      </w:r>
      <w:r>
        <w:rPr>
          <w:rFonts w:hint="eastAsia" w:ascii="华文细黑" w:hAnsi="华文细黑" w:eastAsia="华文细黑" w:cs="华文细黑"/>
          <w:color w:val="auto"/>
          <w:sz w:val="24"/>
          <w:szCs w:val="24"/>
          <w:lang w:val="en-US" w:eastAsia="zh-CN"/>
        </w:rPr>
        <w:t>安全阀采购</w:t>
      </w:r>
      <w:r>
        <w:rPr>
          <w:rFonts w:hint="eastAsia" w:ascii="华文细黑" w:hAnsi="华文细黑" w:eastAsia="华文细黑" w:cs="华文细黑"/>
          <w:color w:val="auto"/>
          <w:sz w:val="24"/>
          <w:szCs w:val="24"/>
        </w:rPr>
        <w:t>项目。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2. </w:t>
      </w:r>
      <w:r>
        <w:rPr>
          <w:rFonts w:hint="eastAsia" w:ascii="华文细黑" w:hAnsi="华文细黑" w:eastAsia="华文细黑" w:cs="华文细黑"/>
          <w:color w:val="auto"/>
          <w:sz w:val="24"/>
          <w:szCs w:val="24"/>
          <w:lang w:val="en-US" w:eastAsia="zh-CN"/>
        </w:rPr>
        <w:t>质量保证：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（1）所供货物是全新的、未使用过的货物，同时应保证货物的各项功能和技术指标达到投标文件和国家相关标准。</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（2）货物在正确安装、正常使用和保养条件下，在建筑物使用寿命内的正常使用和运行。</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（3）货物质保期不得少于24个月（含人工及配件维修）。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二、服务内容</w:t>
      </w:r>
    </w:p>
    <w:p>
      <w:pPr>
        <w:spacing w:line="400" w:lineRule="exact"/>
        <w:ind w:left="-426" w:right="-340" w:rightChars="-162" w:firstLine="480" w:firstLineChars="200"/>
        <w:rPr>
          <w:rFonts w:hint="eastAsia" w:ascii="华文细黑" w:hAnsi="华文细黑" w:eastAsia="华文细黑" w:cs="华文细黑"/>
          <w:b w:val="0"/>
          <w:bCs/>
          <w:kern w:val="0"/>
          <w:sz w:val="24"/>
          <w:szCs w:val="24"/>
        </w:rPr>
      </w:pPr>
      <w:r>
        <w:rPr>
          <w:rFonts w:hint="eastAsia" w:ascii="华文细黑" w:hAnsi="华文细黑" w:eastAsia="华文细黑" w:cs="华文细黑"/>
          <w:b w:val="0"/>
          <w:bCs/>
          <w:kern w:val="0"/>
          <w:sz w:val="24"/>
          <w:szCs w:val="24"/>
          <w:lang w:val="en-US" w:eastAsia="zh-CN"/>
        </w:rPr>
        <w:t>1.</w:t>
      </w:r>
      <w:r>
        <w:rPr>
          <w:rFonts w:hint="eastAsia" w:ascii="华文细黑" w:hAnsi="华文细黑" w:eastAsia="华文细黑" w:cs="华文细黑"/>
          <w:b w:val="0"/>
          <w:bCs/>
          <w:kern w:val="0"/>
          <w:sz w:val="24"/>
          <w:szCs w:val="24"/>
        </w:rPr>
        <w:t>货物（品牌、规格、厂家、产地）、服务名称、数量、单价及</w:t>
      </w:r>
      <w:r>
        <w:rPr>
          <w:rFonts w:hint="eastAsia" w:ascii="华文细黑" w:hAnsi="华文细黑" w:eastAsia="华文细黑" w:cs="华文细黑"/>
          <w:b w:val="0"/>
          <w:bCs/>
          <w:kern w:val="0"/>
          <w:sz w:val="24"/>
          <w:szCs w:val="24"/>
          <w:lang w:val="en-US" w:eastAsia="zh-CN"/>
        </w:rPr>
        <w:t>投标</w:t>
      </w:r>
      <w:r>
        <w:rPr>
          <w:rFonts w:hint="eastAsia" w:ascii="华文细黑" w:hAnsi="华文细黑" w:eastAsia="华文细黑" w:cs="华文细黑"/>
          <w:b w:val="0"/>
          <w:bCs/>
          <w:kern w:val="0"/>
          <w:sz w:val="24"/>
          <w:szCs w:val="24"/>
        </w:rPr>
        <w:t>分项价格、总价：</w:t>
      </w:r>
    </w:p>
    <w:tbl>
      <w:tblPr>
        <w:tblStyle w:val="11"/>
        <w:tblpPr w:leftFromText="180" w:rightFromText="180" w:vertAnchor="text" w:horzAnchor="page" w:tblpX="1740" w:tblpY="17"/>
        <w:tblOverlap w:val="never"/>
        <w:tblW w:w="8610" w:type="dxa"/>
        <w:tblInd w:w="0" w:type="dxa"/>
        <w:tblLayout w:type="fixed"/>
        <w:tblCellMar>
          <w:top w:w="0" w:type="dxa"/>
          <w:left w:w="30" w:type="dxa"/>
          <w:bottom w:w="0" w:type="dxa"/>
          <w:right w:w="30" w:type="dxa"/>
        </w:tblCellMar>
      </w:tblPr>
      <w:tblGrid>
        <w:gridCol w:w="597"/>
        <w:gridCol w:w="4122"/>
        <w:gridCol w:w="933"/>
        <w:gridCol w:w="1000"/>
        <w:gridCol w:w="1017"/>
        <w:gridCol w:w="941"/>
      </w:tblGrid>
      <w:tr>
        <w:tblPrEx>
          <w:tblLayout w:type="fixed"/>
          <w:tblCellMar>
            <w:top w:w="0" w:type="dxa"/>
            <w:left w:w="30" w:type="dxa"/>
            <w:bottom w:w="0" w:type="dxa"/>
            <w:right w:w="30" w:type="dxa"/>
          </w:tblCellMar>
        </w:tblPrEx>
        <w:trPr>
          <w:trHeight w:val="406" w:hRule="atLeast"/>
        </w:trPr>
        <w:tc>
          <w:tcPr>
            <w:tcW w:w="597" w:type="dxa"/>
            <w:tcBorders>
              <w:top w:val="double" w:color="auto" w:sz="4" w:space="0"/>
              <w:left w:val="double" w:color="auto" w:sz="4" w:space="0"/>
              <w:bottom w:val="single" w:color="auto" w:sz="6"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rPr>
              <w:t>序号</w:t>
            </w:r>
          </w:p>
        </w:tc>
        <w:tc>
          <w:tcPr>
            <w:tcW w:w="4122" w:type="dxa"/>
            <w:tcBorders>
              <w:top w:val="double" w:color="auto" w:sz="4" w:space="0"/>
              <w:left w:val="single" w:color="auto" w:sz="4" w:space="0"/>
              <w:bottom w:val="single" w:color="auto" w:sz="6"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rPr>
              <w:t>货物名称</w:t>
            </w:r>
          </w:p>
        </w:tc>
        <w:tc>
          <w:tcPr>
            <w:tcW w:w="933" w:type="dxa"/>
            <w:tcBorders>
              <w:top w:val="double" w:color="auto" w:sz="4" w:space="0"/>
              <w:left w:val="single" w:color="auto" w:sz="4" w:space="0"/>
              <w:bottom w:val="single" w:color="auto" w:sz="6"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rPr>
              <w:t>数量（件）</w:t>
            </w:r>
          </w:p>
        </w:tc>
        <w:tc>
          <w:tcPr>
            <w:tcW w:w="1000" w:type="dxa"/>
            <w:tcBorders>
              <w:top w:val="double" w:color="auto" w:sz="4" w:space="0"/>
              <w:left w:val="single" w:color="auto" w:sz="4" w:space="0"/>
              <w:bottom w:val="single" w:color="auto" w:sz="6"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rPr>
              <w:t>产地/品牌</w:t>
            </w:r>
          </w:p>
        </w:tc>
        <w:tc>
          <w:tcPr>
            <w:tcW w:w="1017" w:type="dxa"/>
            <w:tcBorders>
              <w:top w:val="double" w:color="auto" w:sz="4" w:space="0"/>
              <w:left w:val="single" w:color="auto" w:sz="4" w:space="0"/>
              <w:bottom w:val="single" w:color="auto" w:sz="6"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rPr>
              <w:t>单价（元）</w:t>
            </w:r>
          </w:p>
        </w:tc>
        <w:tc>
          <w:tcPr>
            <w:tcW w:w="941" w:type="dxa"/>
            <w:tcBorders>
              <w:top w:val="double" w:color="auto" w:sz="4" w:space="0"/>
              <w:left w:val="single" w:color="auto" w:sz="4" w:space="0"/>
              <w:bottom w:val="single" w:color="auto" w:sz="6"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rPr>
              <w:t>合价（元）</w:t>
            </w:r>
          </w:p>
        </w:tc>
      </w:tr>
      <w:tr>
        <w:tblPrEx>
          <w:tblLayout w:type="fixed"/>
          <w:tblCellMar>
            <w:top w:w="0" w:type="dxa"/>
            <w:left w:w="30" w:type="dxa"/>
            <w:bottom w:w="0" w:type="dxa"/>
            <w:right w:w="30" w:type="dxa"/>
          </w:tblCellMar>
        </w:tblPrEx>
        <w:trPr>
          <w:trHeight w:val="681" w:hRule="atLeast"/>
        </w:trPr>
        <w:tc>
          <w:tcPr>
            <w:tcW w:w="597" w:type="dxa"/>
            <w:tcBorders>
              <w:top w:val="single" w:color="auto" w:sz="6" w:space="0"/>
              <w:left w:val="doub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1</w:t>
            </w:r>
          </w:p>
        </w:tc>
        <w:tc>
          <w:tcPr>
            <w:tcW w:w="4122"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安全阀 球墨铸铁 DN50 PN25法兰连接6.5-10.4barg 开式阀盖/微升杆/set:10barg</w:t>
            </w:r>
          </w:p>
        </w:tc>
        <w:tc>
          <w:tcPr>
            <w:tcW w:w="933"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lang w:val="en-US" w:eastAsia="zh-CN"/>
              </w:rPr>
              <w:t>1</w:t>
            </w:r>
          </w:p>
        </w:tc>
        <w:tc>
          <w:tcPr>
            <w:tcW w:w="1000"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西门子、斯派莎克、艾瑞或同档次品牌</w:t>
            </w:r>
          </w:p>
        </w:tc>
        <w:tc>
          <w:tcPr>
            <w:tcW w:w="1017"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c>
          <w:tcPr>
            <w:tcW w:w="941" w:type="dxa"/>
            <w:tcBorders>
              <w:top w:val="single" w:color="auto" w:sz="6" w:space="0"/>
              <w:left w:val="single" w:color="auto" w:sz="4"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r>
      <w:tr>
        <w:tblPrEx>
          <w:tblLayout w:type="fixed"/>
          <w:tblCellMar>
            <w:top w:w="0" w:type="dxa"/>
            <w:left w:w="30" w:type="dxa"/>
            <w:bottom w:w="0" w:type="dxa"/>
            <w:right w:w="30" w:type="dxa"/>
          </w:tblCellMar>
        </w:tblPrEx>
        <w:trPr>
          <w:trHeight w:val="681" w:hRule="atLeast"/>
        </w:trPr>
        <w:tc>
          <w:tcPr>
            <w:tcW w:w="597" w:type="dxa"/>
            <w:tcBorders>
              <w:top w:val="single" w:color="auto" w:sz="6" w:space="0"/>
              <w:left w:val="doub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2</w:t>
            </w:r>
          </w:p>
        </w:tc>
        <w:tc>
          <w:tcPr>
            <w:tcW w:w="4122"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lang w:val="en-US" w:eastAsia="zh-CN"/>
              </w:rPr>
              <w:t>安全阀 球墨铸铁 DN50 PN25法兰连接6.5-10.4barg 开式阀盖/微升杆/set:10.2barg</w:t>
            </w:r>
          </w:p>
        </w:tc>
        <w:tc>
          <w:tcPr>
            <w:tcW w:w="933"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1</w:t>
            </w:r>
          </w:p>
        </w:tc>
        <w:tc>
          <w:tcPr>
            <w:tcW w:w="1000"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lang w:val="en-US" w:eastAsia="zh-CN"/>
              </w:rPr>
              <w:t>西门子、斯派莎克、艾瑞或同档次品牌</w:t>
            </w:r>
          </w:p>
        </w:tc>
        <w:tc>
          <w:tcPr>
            <w:tcW w:w="1017"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c>
          <w:tcPr>
            <w:tcW w:w="941" w:type="dxa"/>
            <w:tcBorders>
              <w:top w:val="single" w:color="auto" w:sz="6" w:space="0"/>
              <w:left w:val="single" w:color="auto" w:sz="4"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r>
      <w:tr>
        <w:tblPrEx>
          <w:tblLayout w:type="fixed"/>
          <w:tblCellMar>
            <w:top w:w="0" w:type="dxa"/>
            <w:left w:w="30" w:type="dxa"/>
            <w:bottom w:w="0" w:type="dxa"/>
            <w:right w:w="30" w:type="dxa"/>
          </w:tblCellMar>
        </w:tblPrEx>
        <w:trPr>
          <w:trHeight w:val="681" w:hRule="atLeast"/>
        </w:trPr>
        <w:tc>
          <w:tcPr>
            <w:tcW w:w="597" w:type="dxa"/>
            <w:tcBorders>
              <w:top w:val="single" w:color="auto" w:sz="6" w:space="0"/>
              <w:left w:val="doub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3</w:t>
            </w:r>
          </w:p>
        </w:tc>
        <w:tc>
          <w:tcPr>
            <w:tcW w:w="4122"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lang w:val="en-US" w:eastAsia="zh-CN"/>
              </w:rPr>
              <w:t>安全阀 球墨铸铁 DN80 PN25法兰连接8.7-10.4barg 开式阀盖/微升杆/set:10barg</w:t>
            </w:r>
          </w:p>
        </w:tc>
        <w:tc>
          <w:tcPr>
            <w:tcW w:w="933"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2</w:t>
            </w:r>
          </w:p>
        </w:tc>
        <w:tc>
          <w:tcPr>
            <w:tcW w:w="1000"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lang w:val="en-US" w:eastAsia="zh-CN"/>
              </w:rPr>
              <w:t>西门子、斯派莎克、艾瑞或同档次品牌</w:t>
            </w:r>
          </w:p>
        </w:tc>
        <w:tc>
          <w:tcPr>
            <w:tcW w:w="1017"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c>
          <w:tcPr>
            <w:tcW w:w="941" w:type="dxa"/>
            <w:tcBorders>
              <w:top w:val="single" w:color="auto" w:sz="6" w:space="0"/>
              <w:left w:val="single" w:color="auto" w:sz="4"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r>
      <w:tr>
        <w:tblPrEx>
          <w:tblLayout w:type="fixed"/>
          <w:tblCellMar>
            <w:top w:w="0" w:type="dxa"/>
            <w:left w:w="30" w:type="dxa"/>
            <w:bottom w:w="0" w:type="dxa"/>
            <w:right w:w="30" w:type="dxa"/>
          </w:tblCellMar>
        </w:tblPrEx>
        <w:trPr>
          <w:trHeight w:val="681" w:hRule="atLeast"/>
        </w:trPr>
        <w:tc>
          <w:tcPr>
            <w:tcW w:w="597" w:type="dxa"/>
            <w:tcBorders>
              <w:top w:val="single" w:color="auto" w:sz="6" w:space="0"/>
              <w:left w:val="doub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4</w:t>
            </w:r>
          </w:p>
        </w:tc>
        <w:tc>
          <w:tcPr>
            <w:tcW w:w="4122"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lang w:val="en-US" w:eastAsia="zh-CN"/>
              </w:rPr>
              <w:t>安全阀 球墨铸铁 DN80 PN25法兰连接8.7-10.4barg 开式阀盖/微升杆/set:10.2barg</w:t>
            </w:r>
          </w:p>
        </w:tc>
        <w:tc>
          <w:tcPr>
            <w:tcW w:w="933"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2</w:t>
            </w:r>
          </w:p>
        </w:tc>
        <w:tc>
          <w:tcPr>
            <w:tcW w:w="1000"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lang w:val="en-US" w:eastAsia="zh-CN"/>
              </w:rPr>
              <w:t>西门子、斯派莎克、艾瑞或同档次品牌</w:t>
            </w:r>
          </w:p>
        </w:tc>
        <w:tc>
          <w:tcPr>
            <w:tcW w:w="1017"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c>
          <w:tcPr>
            <w:tcW w:w="941" w:type="dxa"/>
            <w:tcBorders>
              <w:top w:val="single" w:color="auto" w:sz="6" w:space="0"/>
              <w:left w:val="single" w:color="auto" w:sz="4"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r>
      <w:tr>
        <w:tblPrEx>
          <w:tblLayout w:type="fixed"/>
          <w:tblCellMar>
            <w:top w:w="0" w:type="dxa"/>
            <w:left w:w="30" w:type="dxa"/>
            <w:bottom w:w="0" w:type="dxa"/>
            <w:right w:w="30" w:type="dxa"/>
          </w:tblCellMar>
        </w:tblPrEx>
        <w:trPr>
          <w:trHeight w:val="681" w:hRule="atLeast"/>
        </w:trPr>
        <w:tc>
          <w:tcPr>
            <w:tcW w:w="597" w:type="dxa"/>
            <w:tcBorders>
              <w:top w:val="single" w:color="auto" w:sz="6" w:space="0"/>
              <w:left w:val="doub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5</w:t>
            </w:r>
          </w:p>
        </w:tc>
        <w:tc>
          <w:tcPr>
            <w:tcW w:w="4122"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安全阀 球墨铸铁 DN32 PN25法兰连接3.8-5.5barg 开式阀盖/微升杆/set:5.5barg</w:t>
            </w:r>
          </w:p>
        </w:tc>
        <w:tc>
          <w:tcPr>
            <w:tcW w:w="933"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lang w:val="en-US" w:eastAsia="zh-CN"/>
              </w:rPr>
            </w:pPr>
            <w:r>
              <w:rPr>
                <w:rFonts w:hint="eastAsia" w:ascii="华文细黑" w:hAnsi="华文细黑" w:eastAsia="华文细黑" w:cs="华文细黑"/>
                <w:sz w:val="21"/>
                <w:szCs w:val="21"/>
                <w:lang w:val="en-US" w:eastAsia="zh-CN"/>
              </w:rPr>
              <w:t>1</w:t>
            </w:r>
          </w:p>
        </w:tc>
        <w:tc>
          <w:tcPr>
            <w:tcW w:w="1000"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lang w:val="en-US" w:eastAsia="zh-CN"/>
              </w:rPr>
              <w:t>西门子、斯派莎克、艾瑞或同档次品牌</w:t>
            </w:r>
          </w:p>
        </w:tc>
        <w:tc>
          <w:tcPr>
            <w:tcW w:w="1017" w:type="dxa"/>
            <w:tcBorders>
              <w:top w:val="single" w:color="auto" w:sz="6" w:space="0"/>
              <w:left w:val="single" w:color="auto" w:sz="4" w:space="0"/>
              <w:right w:val="sing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c>
          <w:tcPr>
            <w:tcW w:w="941" w:type="dxa"/>
            <w:tcBorders>
              <w:top w:val="single" w:color="auto" w:sz="6" w:space="0"/>
              <w:left w:val="single" w:color="auto" w:sz="4"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p>
        </w:tc>
      </w:tr>
      <w:tr>
        <w:tblPrEx>
          <w:tblLayout w:type="fixed"/>
          <w:tblCellMar>
            <w:top w:w="0" w:type="dxa"/>
            <w:left w:w="30" w:type="dxa"/>
            <w:bottom w:w="0" w:type="dxa"/>
            <w:right w:w="30" w:type="dxa"/>
          </w:tblCellMar>
        </w:tblPrEx>
        <w:trPr>
          <w:cantSplit/>
          <w:trHeight w:val="445" w:hRule="atLeast"/>
        </w:trPr>
        <w:tc>
          <w:tcPr>
            <w:tcW w:w="8610" w:type="dxa"/>
            <w:gridSpan w:val="6"/>
            <w:tcBorders>
              <w:top w:val="single" w:color="auto" w:sz="6" w:space="0"/>
              <w:left w:val="double" w:color="auto" w:sz="4" w:space="0"/>
              <w:bottom w:val="double" w:color="auto" w:sz="4" w:space="0"/>
              <w:right w:val="double" w:color="auto" w:sz="4" w:space="0"/>
            </w:tcBorders>
            <w:vAlign w:val="center"/>
          </w:tcPr>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b/>
                <w:bCs/>
                <w:sz w:val="21"/>
                <w:szCs w:val="21"/>
                <w:lang w:val="en-US" w:eastAsia="zh-CN"/>
              </w:rPr>
              <w:t>报</w:t>
            </w:r>
            <w:r>
              <w:rPr>
                <w:rFonts w:hint="eastAsia" w:ascii="华文细黑" w:hAnsi="华文细黑" w:eastAsia="华文细黑" w:cs="华文细黑"/>
                <w:b/>
                <w:bCs/>
                <w:sz w:val="21"/>
                <w:szCs w:val="21"/>
              </w:rPr>
              <w:t>价</w:t>
            </w:r>
            <w:r>
              <w:rPr>
                <w:rFonts w:hint="eastAsia" w:ascii="华文细黑" w:hAnsi="华文细黑" w:eastAsia="华文细黑" w:cs="华文细黑"/>
                <w:sz w:val="21"/>
                <w:szCs w:val="21"/>
              </w:rPr>
              <w:t>（人民币大写）</w:t>
            </w:r>
            <w:r>
              <w:rPr>
                <w:rFonts w:hint="eastAsia" w:ascii="华文细黑" w:hAnsi="华文细黑" w:eastAsia="华文细黑" w:cs="华文细黑"/>
                <w:sz w:val="21"/>
                <w:szCs w:val="21"/>
                <w:u w:val="single"/>
              </w:rPr>
              <w:t>人民币</w:t>
            </w:r>
            <w:r>
              <w:rPr>
                <w:rFonts w:hint="eastAsia" w:ascii="华文细黑" w:hAnsi="华文细黑" w:eastAsia="华文细黑" w:cs="华文细黑"/>
                <w:sz w:val="21"/>
                <w:szCs w:val="21"/>
                <w:u w:val="single"/>
                <w:lang w:val="en-US" w:eastAsia="zh-CN"/>
              </w:rPr>
              <w:t xml:space="preserve">          </w:t>
            </w:r>
            <w:r>
              <w:rPr>
                <w:rFonts w:hint="eastAsia" w:ascii="华文细黑" w:hAnsi="华文细黑" w:eastAsia="华文细黑" w:cs="华文细黑"/>
                <w:sz w:val="21"/>
                <w:szCs w:val="21"/>
                <w:u w:val="single"/>
              </w:rPr>
              <w:t>元整</w:t>
            </w:r>
            <w:r>
              <w:rPr>
                <w:rFonts w:hint="eastAsia" w:ascii="华文细黑" w:hAnsi="华文细黑" w:eastAsia="华文细黑" w:cs="华文细黑"/>
                <w:sz w:val="21"/>
                <w:szCs w:val="21"/>
              </w:rPr>
              <w:t xml:space="preserve">  </w:t>
            </w:r>
          </w:p>
          <w:p>
            <w:pPr>
              <w:autoSpaceDE w:val="0"/>
              <w:autoSpaceDN w:val="0"/>
              <w:adjustRightInd w:val="0"/>
              <w:spacing w:line="400" w:lineRule="exact"/>
              <w:jc w:val="center"/>
              <w:rPr>
                <w:rFonts w:hint="eastAsia" w:ascii="华文细黑" w:hAnsi="华文细黑" w:eastAsia="华文细黑" w:cs="华文细黑"/>
                <w:sz w:val="21"/>
                <w:szCs w:val="21"/>
              </w:rPr>
            </w:pPr>
            <w:r>
              <w:rPr>
                <w:rFonts w:hint="eastAsia" w:ascii="华文细黑" w:hAnsi="华文细黑" w:eastAsia="华文细黑" w:cs="华文细黑"/>
                <w:sz w:val="21"/>
                <w:szCs w:val="21"/>
                <w:lang w:val="en-US" w:eastAsia="zh-CN"/>
              </w:rPr>
              <w:t xml:space="preserve">  </w:t>
            </w:r>
            <w:r>
              <w:rPr>
                <w:rFonts w:hint="eastAsia" w:ascii="华文细黑" w:hAnsi="华文细黑" w:eastAsia="华文细黑" w:cs="华文细黑"/>
                <w:sz w:val="21"/>
                <w:szCs w:val="21"/>
              </w:rPr>
              <w:t>（人民币小写）¥</w:t>
            </w:r>
            <w:r>
              <w:rPr>
                <w:rFonts w:hint="eastAsia" w:ascii="华文细黑" w:hAnsi="华文细黑" w:eastAsia="华文细黑" w:cs="华文细黑"/>
                <w:sz w:val="21"/>
                <w:szCs w:val="21"/>
                <w:lang w:val="en-US" w:eastAsia="zh-CN"/>
              </w:rPr>
              <w:t xml:space="preserve"> </w:t>
            </w:r>
            <w:r>
              <w:rPr>
                <w:rFonts w:hint="eastAsia" w:ascii="华文细黑" w:hAnsi="华文细黑" w:eastAsia="华文细黑" w:cs="华文细黑"/>
                <w:sz w:val="21"/>
                <w:szCs w:val="21"/>
                <w:u w:val="single"/>
                <w:lang w:val="en-US" w:eastAsia="zh-CN"/>
              </w:rPr>
              <w:t xml:space="preserve">      </w:t>
            </w:r>
            <w:r>
              <w:rPr>
                <w:rFonts w:hint="eastAsia" w:ascii="华文细黑" w:hAnsi="华文细黑" w:eastAsia="华文细黑" w:cs="华文细黑"/>
                <w:sz w:val="21"/>
                <w:szCs w:val="21"/>
              </w:rPr>
              <w:t>元</w:t>
            </w:r>
          </w:p>
        </w:tc>
      </w:tr>
    </w:tbl>
    <w:p>
      <w:pPr>
        <w:numPr>
          <w:ilvl w:val="0"/>
          <w:numId w:val="0"/>
        </w:numPr>
        <w:spacing w:line="400" w:lineRule="exact"/>
        <w:ind w:right="-340" w:rightChars="-162"/>
        <w:rPr>
          <w:rFonts w:hint="eastAsia" w:ascii="华文细黑" w:hAnsi="华文细黑" w:eastAsia="华文细黑" w:cs="华文细黑"/>
          <w:kern w:val="0"/>
          <w:sz w:val="24"/>
          <w:szCs w:val="24"/>
          <w:highlight w:val="yellow"/>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2.投标</w:t>
      </w:r>
      <w:r>
        <w:rPr>
          <w:rFonts w:hint="eastAsia" w:ascii="华文细黑" w:hAnsi="华文细黑" w:eastAsia="华文细黑" w:cs="华文细黑"/>
          <w:color w:val="auto"/>
          <w:sz w:val="24"/>
          <w:szCs w:val="24"/>
        </w:rPr>
        <w:t>价格为货物到达</w:t>
      </w:r>
      <w:r>
        <w:rPr>
          <w:rFonts w:hint="eastAsia" w:ascii="华文细黑" w:hAnsi="华文细黑" w:eastAsia="华文细黑" w:cs="华文细黑"/>
          <w:color w:val="auto"/>
          <w:sz w:val="24"/>
          <w:szCs w:val="24"/>
          <w:lang w:val="en-US" w:eastAsia="zh-CN"/>
        </w:rPr>
        <w:t>医院</w:t>
      </w:r>
      <w:r>
        <w:rPr>
          <w:rFonts w:hint="eastAsia" w:ascii="华文细黑" w:hAnsi="华文细黑" w:eastAsia="华文细黑" w:cs="华文细黑"/>
          <w:color w:val="auto"/>
          <w:sz w:val="24"/>
          <w:szCs w:val="24"/>
        </w:rPr>
        <w:t>指定地点价格，包含一切税费、货物费、运杂费、保险费、装卸落地费、保管费、货物仓储费、二次搬运费（搬运至各区域所发生的全部费用）、检测验收费（有关法律法规规定的货物进场、材料和成品抽检、最终检测及验收费）及质保期内维护保养等</w:t>
      </w:r>
      <w:r>
        <w:rPr>
          <w:rFonts w:hint="eastAsia" w:ascii="华文细黑" w:hAnsi="华文细黑" w:eastAsia="华文细黑" w:cs="华文细黑"/>
          <w:color w:val="auto"/>
          <w:sz w:val="24"/>
          <w:szCs w:val="24"/>
          <w:lang w:val="en-US" w:eastAsia="zh-CN"/>
        </w:rPr>
        <w:t>完成本项目所需的</w:t>
      </w:r>
      <w:r>
        <w:rPr>
          <w:rFonts w:hint="eastAsia" w:ascii="华文细黑" w:hAnsi="华文细黑" w:eastAsia="华文细黑" w:cs="华文细黑"/>
          <w:color w:val="auto"/>
          <w:sz w:val="24"/>
          <w:szCs w:val="24"/>
        </w:rPr>
        <w:t>所有费用等</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实行固定单价</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单价按投标报价</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包干。</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因实际需要调整供货数量时，合同总价按结算时实际货物验收单数量为准。涉及采购变更，必须由</w:t>
      </w:r>
      <w:r>
        <w:rPr>
          <w:rFonts w:hint="eastAsia" w:ascii="华文细黑" w:hAnsi="华文细黑" w:eastAsia="华文细黑" w:cs="华文细黑"/>
          <w:color w:val="auto"/>
          <w:sz w:val="24"/>
          <w:szCs w:val="24"/>
          <w:lang w:val="en-US" w:eastAsia="zh-CN"/>
        </w:rPr>
        <w:t>医院</w:t>
      </w:r>
      <w:r>
        <w:rPr>
          <w:rFonts w:hint="eastAsia" w:ascii="华文细黑" w:hAnsi="华文细黑" w:eastAsia="华文细黑" w:cs="华文细黑"/>
          <w:color w:val="auto"/>
          <w:sz w:val="24"/>
          <w:szCs w:val="24"/>
        </w:rPr>
        <w:t>书面确认后方可作为结算的依据。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三、供应商资格条件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1.符合《中华人民共和国政府采购法》第二十二条规定条件；必须具备本次招标货物或服务的经营资质；</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2.近三年内有从事上述项目经营的业绩；</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3.须具有《特种设备制造许可证》；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4.本项目不接受联合体投标</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四、响应文件编制要求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响应文件分商务文件和技术文件。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商务文件包含完成本项目所需的全部报价及其他相关服务承诺、优惠条件。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技术文件包含公司简介、企业法人营业执照、法人代表及委托代理人身份证复印件、法人授权委托书、资质证书复印件（复印件需加盖单位公章）等相关证明材料；</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五、报价文件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按本文件第二条第1款表格内所列内容报价。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采购到货</w:t>
      </w:r>
      <w:r>
        <w:rPr>
          <w:rFonts w:hint="eastAsia" w:ascii="华文细黑" w:hAnsi="华文细黑" w:eastAsia="华文细黑" w:cs="华文细黑"/>
          <w:color w:val="auto"/>
          <w:sz w:val="24"/>
          <w:szCs w:val="24"/>
        </w:rPr>
        <w:t>响应周期及相应优惠条件等。</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六、评标办法</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本次招标采用</w:t>
      </w:r>
      <w:r>
        <w:rPr>
          <w:rFonts w:hint="eastAsia" w:ascii="华文细黑" w:hAnsi="华文细黑" w:eastAsia="华文细黑" w:cs="华文细黑"/>
          <w:color w:val="auto"/>
          <w:sz w:val="24"/>
          <w:szCs w:val="24"/>
          <w:lang w:val="en-US" w:eastAsia="zh-CN"/>
        </w:rPr>
        <w:t>综合评标法，详见附件1</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七、报价要求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本次报价总价不得超过10万元，超过10万元作无效标处理</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八、合同签订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1.中标人须在7个工作日内，与我院签订采购合同，否则，将视为自动放弃本项目的所有权利，取消中标资格。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合同签订前，我院将对合同内容进行审查，如发现与采购结果和投标承诺内容不一致的，取消中标资格。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中标人若拖延、拒签合同的,将取消中标资格。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九、付款方式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按合同约定付款，付款以转账支票形式支付。</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十、投标截止时间、开标时间及地点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递交投标文件截止时间：2018年</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lang w:val="en-US" w:eastAsia="zh-CN"/>
        </w:rPr>
        <w:t>16</w:t>
      </w:r>
      <w:r>
        <w:rPr>
          <w:rFonts w:hint="eastAsia" w:ascii="华文细黑" w:hAnsi="华文细黑" w:eastAsia="华文细黑" w:cs="华文细黑"/>
          <w:color w:val="auto"/>
          <w:sz w:val="24"/>
          <w:szCs w:val="24"/>
        </w:rPr>
        <w:t>日（周</w:t>
      </w:r>
      <w:r>
        <w:rPr>
          <w:rFonts w:hint="eastAsia" w:ascii="华文细黑" w:hAnsi="华文细黑" w:eastAsia="华文细黑" w:cs="华文细黑"/>
          <w:color w:val="auto"/>
          <w:sz w:val="24"/>
          <w:szCs w:val="24"/>
          <w:lang w:val="en-US" w:eastAsia="zh-CN"/>
        </w:rPr>
        <w:t>五</w:t>
      </w: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0</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2．开标时间：2018年</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lang w:val="en-US" w:eastAsia="zh-CN"/>
        </w:rPr>
        <w:t>16</w:t>
      </w:r>
      <w:r>
        <w:rPr>
          <w:rFonts w:hint="eastAsia" w:ascii="华文细黑" w:hAnsi="华文细黑" w:eastAsia="华文细黑" w:cs="华文细黑"/>
          <w:color w:val="auto"/>
          <w:sz w:val="24"/>
          <w:szCs w:val="24"/>
        </w:rPr>
        <w:t>日（周</w:t>
      </w:r>
      <w:r>
        <w:rPr>
          <w:rFonts w:hint="eastAsia" w:ascii="华文细黑" w:hAnsi="华文细黑" w:eastAsia="华文细黑" w:cs="华文细黑"/>
          <w:color w:val="auto"/>
          <w:sz w:val="24"/>
          <w:szCs w:val="24"/>
          <w:lang w:val="en-US" w:eastAsia="zh-CN"/>
        </w:rPr>
        <w:t>五</w:t>
      </w: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0</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3．投标地点：浙江省肿瘤医院行政楼411</w:t>
      </w:r>
      <w:r>
        <w:rPr>
          <w:rFonts w:hint="eastAsia" w:ascii="华文细黑" w:hAnsi="华文细黑" w:eastAsia="华文细黑" w:cs="华文细黑"/>
          <w:color w:val="auto"/>
          <w:sz w:val="24"/>
          <w:szCs w:val="24"/>
          <w:lang w:val="en-US" w:eastAsia="zh-CN"/>
        </w:rPr>
        <w:t>会议</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开标地点：浙江省肿瘤医院行政楼411</w:t>
      </w:r>
      <w:r>
        <w:rPr>
          <w:rFonts w:hint="eastAsia" w:ascii="华文细黑" w:hAnsi="华文细黑" w:eastAsia="华文细黑" w:cs="华文细黑"/>
          <w:color w:val="auto"/>
          <w:sz w:val="24"/>
          <w:szCs w:val="24"/>
          <w:lang w:val="en-US" w:eastAsia="zh-CN"/>
        </w:rPr>
        <w:t>会议</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十一、联系方式：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2. 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联系人：</w:t>
      </w:r>
      <w:r>
        <w:rPr>
          <w:rFonts w:hint="eastAsia" w:ascii="华文细黑" w:hAnsi="华文细黑" w:eastAsia="华文细黑" w:cs="华文细黑"/>
          <w:color w:val="auto"/>
          <w:sz w:val="24"/>
          <w:szCs w:val="24"/>
          <w:lang w:val="en-US" w:eastAsia="zh-CN"/>
        </w:rPr>
        <w:t>叶</w:t>
      </w:r>
      <w:r>
        <w:rPr>
          <w:rFonts w:hint="eastAsia" w:ascii="华文细黑" w:hAnsi="华文细黑" w:eastAsia="华文细黑" w:cs="华文细黑"/>
          <w:color w:val="auto"/>
          <w:sz w:val="24"/>
          <w:szCs w:val="24"/>
        </w:rPr>
        <w:t>先生    联系电话：0571-88122528</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2018年3月8日</w:t>
      </w:r>
    </w:p>
    <w:bookmarkEnd w:id="0"/>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4"/>
          <w:szCs w:val="24"/>
        </w:rPr>
      </w:pPr>
      <w:r>
        <w:rPr>
          <w:rFonts w:hint="eastAsia" w:ascii="华文中宋" w:hAnsi="华文中宋" w:eastAsia="华文中宋" w:cs="华文中宋"/>
          <w:b/>
          <w:sz w:val="24"/>
          <w:szCs w:val="24"/>
        </w:rPr>
        <w:t>附件</w:t>
      </w:r>
      <w:r>
        <w:rPr>
          <w:rFonts w:hint="eastAsia" w:ascii="华文中宋" w:hAnsi="华文中宋" w:eastAsia="华文中宋" w:cs="华文中宋"/>
          <w:b/>
          <w:sz w:val="24"/>
          <w:szCs w:val="24"/>
          <w:lang w:val="en-US" w:eastAsia="zh-CN"/>
        </w:rPr>
        <w:t>1</w:t>
      </w:r>
      <w:r>
        <w:rPr>
          <w:rFonts w:hint="eastAsia" w:ascii="华文中宋" w:hAnsi="华文中宋" w:eastAsia="华文中宋" w:cs="华文中宋"/>
          <w:b/>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lang w:eastAsia="zh-CN"/>
        </w:rPr>
        <w:t>本次议标</w:t>
      </w:r>
      <w:r>
        <w:rPr>
          <w:rFonts w:hint="eastAsia" w:ascii="华文中宋" w:hAnsi="华文中宋" w:eastAsia="华文中宋" w:cs="华文中宋"/>
          <w:b/>
          <w:bCs/>
          <w:sz w:val="28"/>
          <w:szCs w:val="28"/>
        </w:rPr>
        <w:t>评标办法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lang w:val="en-US" w:eastAsia="zh-CN"/>
        </w:rPr>
        <w:t>1</w:t>
      </w:r>
      <w:r>
        <w:rPr>
          <w:rFonts w:hint="eastAsia" w:ascii="华文中宋" w:hAnsi="华文中宋" w:eastAsia="华文中宋" w:cs="华文中宋"/>
          <w:b/>
          <w:bCs/>
          <w:sz w:val="21"/>
          <w:szCs w:val="21"/>
        </w:rPr>
        <w:t>、评标纪律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1.1．评标是招标工作的重要环节，评标工作在评标委员会内独立进行。</w:t>
      </w:r>
      <w:r>
        <w:rPr>
          <w:rFonts w:hint="eastAsia" w:ascii="华文中宋" w:hAnsi="华文中宋" w:eastAsia="华文中宋" w:cs="华文中宋"/>
          <w:sz w:val="21"/>
          <w:szCs w:val="21"/>
          <w:lang w:eastAsia="zh-CN"/>
        </w:rPr>
        <w:t>评标委员会成员由采购人代表及专家组成。</w:t>
      </w:r>
      <w:r>
        <w:rPr>
          <w:rFonts w:hint="eastAsia" w:ascii="华文中宋" w:hAnsi="华文中宋" w:eastAsia="华文中宋" w:cs="华文中宋"/>
          <w:sz w:val="21"/>
          <w:szCs w:val="21"/>
        </w:rPr>
        <w:t>评标委员会将按照评标原则的要求，公正、平等地对待所有投标人。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1.2．所有评标人员应忠于职守、廉洁自律、秉公办事、不徇私情。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1.3．评标人员不得接受或参加投标人或与投标有关的单位、组织或个人的有碍公务的宴请、娱乐活动等，不得以任何形式弄虚作假。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1.4．评标期间，评标人员不得随意出入评标地点、与外界通讯、会客等。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1.5．在投标文件的审查、澄清、评价和比较以及授予合同的过程中，投标人对采购人、采购人人员及评标委员会成员施加影响的任何行为，都将导致被取消投标资格。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1.7．评标过程中，当发表结论性意见时，先听取专家评委意见，用户评委随后发表意见。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1.8．评标结束后，各评标人员应将全部资料整理上交采购人，严禁将评标过程中的任何资料带出评标现场向投标人或其他单位提供。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1.9．在定标结果公布前应对评标委员会成员名单予以保密。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1.10．评标委员会对各投标人的商业秘密予以保密。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1.11．评标委员会成员应当客观、公正地履行职责，遵守职业道德，对所提出的评审意见承担个人责任。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1.12．在整个评标过程中，投标人企图影响采购结果的任何活动，可能导致其投标失败。如有违法行为，将依法追究其法律责任。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2、关于评标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2.1商务分</w:t>
      </w:r>
      <w:r>
        <w:rPr>
          <w:rFonts w:hint="eastAsia" w:ascii="华文中宋" w:hAnsi="华文中宋" w:eastAsia="华文中宋" w:cs="华文中宋"/>
          <w:b/>
          <w:bCs/>
          <w:sz w:val="21"/>
          <w:szCs w:val="21"/>
          <w:lang w:val="en-US" w:eastAsia="zh-CN"/>
        </w:rPr>
        <w:t>50</w:t>
      </w:r>
      <w:r>
        <w:rPr>
          <w:rFonts w:hint="eastAsia" w:ascii="华文中宋" w:hAnsi="华文中宋" w:eastAsia="华文中宋" w:cs="华文中宋"/>
          <w:b/>
          <w:bCs/>
          <w:sz w:val="21"/>
          <w:szCs w:val="21"/>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（1）取所有有效投标人中满足招标文件要求且投标价格最低的投标报价为评标基准价。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（2）根据投标人的评标价与评标基准价对比，其他投标人的投标报价得分=(评标基准价／投标报价)×价格权值×100。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以上报价评分不足一个百分点时，保留小数2位。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2.2技术资信分</w:t>
      </w:r>
      <w:r>
        <w:rPr>
          <w:rFonts w:hint="eastAsia" w:ascii="华文中宋" w:hAnsi="华文中宋" w:eastAsia="华文中宋" w:cs="华文中宋"/>
          <w:b/>
          <w:bCs/>
          <w:sz w:val="21"/>
          <w:szCs w:val="21"/>
          <w:lang w:val="en-US" w:eastAsia="zh-CN"/>
        </w:rPr>
        <w:t>50</w:t>
      </w:r>
      <w:r>
        <w:rPr>
          <w:rFonts w:hint="eastAsia" w:ascii="华文中宋" w:hAnsi="华文中宋" w:eastAsia="华文中宋" w:cs="华文中宋"/>
          <w:b/>
          <w:bCs/>
          <w:sz w:val="21"/>
          <w:szCs w:val="21"/>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 xml:space="preserve">各评委成员按下列评分项目进行评判，每人一张评分计算票，并记名。投标文件各项评分内容由评标委员会成员各自评分，如某张票的一个因素项目超过规定的范围，则该张票无效，无效票不影响评标过程。各评标委员会成员的算术平均值为各投标人技术资信分得分（小数点后按四舍五入保留2位）。各投标人的得分允许一致。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资信业绩评分标准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firstLine="420"/>
        <w:textAlignment w:val="auto"/>
        <w:outlineLvl w:val="9"/>
        <w:rPr>
          <w:rFonts w:hint="eastAsia" w:ascii="华文中宋" w:hAnsi="华文中宋" w:eastAsia="华文中宋" w:cs="华文中宋"/>
          <w:sz w:val="21"/>
          <w:szCs w:val="21"/>
          <w:lang w:eastAsia="zh-CN"/>
        </w:rPr>
      </w:pPr>
      <w:r>
        <w:rPr>
          <w:rFonts w:hint="eastAsia" w:ascii="华文中宋" w:hAnsi="华文中宋" w:eastAsia="华文中宋" w:cs="华文中宋"/>
          <w:sz w:val="21"/>
          <w:szCs w:val="21"/>
        </w:rPr>
        <w:t>制造厂品牌（</w:t>
      </w:r>
      <w:r>
        <w:rPr>
          <w:rFonts w:hint="eastAsia" w:ascii="华文中宋" w:hAnsi="华文中宋" w:eastAsia="华文中宋" w:cs="华文中宋"/>
          <w:sz w:val="21"/>
          <w:szCs w:val="21"/>
          <w:lang w:val="en-US" w:eastAsia="zh-CN"/>
        </w:rPr>
        <w:t>0-</w:t>
      </w:r>
      <w:r>
        <w:rPr>
          <w:rFonts w:hint="eastAsia" w:ascii="华文中宋" w:hAnsi="华文中宋" w:eastAsia="华文中宋" w:cs="华文中宋"/>
          <w:sz w:val="21"/>
          <w:szCs w:val="21"/>
        </w:rPr>
        <w:t>6分）</w:t>
      </w:r>
      <w:r>
        <w:rPr>
          <w:rFonts w:hint="eastAsia" w:ascii="华文中宋" w:hAnsi="华文中宋" w:eastAsia="华文中宋" w:cs="华文中宋"/>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firstLine="420"/>
        <w:textAlignment w:val="auto"/>
        <w:outlineLvl w:val="9"/>
        <w:rPr>
          <w:rFonts w:hint="eastAsia" w:ascii="华文中宋" w:hAnsi="华文中宋" w:eastAsia="华文中宋" w:cs="华文中宋"/>
          <w:sz w:val="21"/>
          <w:szCs w:val="21"/>
          <w:lang w:eastAsia="zh-CN"/>
        </w:rPr>
      </w:pPr>
      <w:r>
        <w:rPr>
          <w:rFonts w:hint="eastAsia" w:ascii="华文中宋" w:hAnsi="华文中宋" w:eastAsia="华文中宋" w:cs="华文中宋"/>
          <w:sz w:val="21"/>
          <w:szCs w:val="21"/>
          <w:lang w:eastAsia="zh-CN"/>
        </w:rPr>
        <w:t>安全阀业绩（</w:t>
      </w:r>
      <w:r>
        <w:rPr>
          <w:rFonts w:hint="eastAsia" w:ascii="华文中宋" w:hAnsi="华文中宋" w:eastAsia="华文中宋" w:cs="华文中宋"/>
          <w:sz w:val="21"/>
          <w:szCs w:val="21"/>
          <w:lang w:val="en-US" w:eastAsia="zh-CN"/>
        </w:rPr>
        <w:t>0-</w:t>
      </w:r>
      <w:r>
        <w:rPr>
          <w:rFonts w:hint="eastAsia" w:ascii="华文中宋" w:hAnsi="华文中宋" w:eastAsia="华文中宋" w:cs="华文中宋"/>
          <w:sz w:val="21"/>
          <w:szCs w:val="21"/>
          <w:lang w:eastAsia="zh-CN"/>
        </w:rPr>
        <w:t>10分）。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lang w:val="en-US" w:eastAsia="zh-CN"/>
        </w:rPr>
        <w:t>2、</w:t>
      </w:r>
      <w:r>
        <w:rPr>
          <w:rFonts w:hint="eastAsia" w:ascii="华文中宋" w:hAnsi="华文中宋" w:eastAsia="华文中宋" w:cs="华文中宋"/>
          <w:b/>
          <w:bCs/>
          <w:sz w:val="21"/>
          <w:szCs w:val="21"/>
        </w:rPr>
        <w:t>技术部分评分标准</w:t>
      </w:r>
      <w:r>
        <w:rPr>
          <w:rFonts w:hint="eastAsia" w:ascii="华文中宋" w:hAnsi="华文中宋" w:eastAsia="华文中宋" w:cs="华文中宋"/>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主要部件材质</w:t>
      </w:r>
      <w:r>
        <w:rPr>
          <w:rFonts w:hint="eastAsia" w:ascii="华文中宋" w:hAnsi="华文中宋" w:eastAsia="华文中宋" w:cs="华文中宋"/>
          <w:sz w:val="21"/>
          <w:szCs w:val="21"/>
          <w:lang w:eastAsia="zh-CN"/>
        </w:rPr>
        <w:t>（</w:t>
      </w:r>
      <w:r>
        <w:rPr>
          <w:rFonts w:hint="eastAsia" w:ascii="华文中宋" w:hAnsi="华文中宋" w:eastAsia="华文中宋" w:cs="华文中宋"/>
          <w:sz w:val="21"/>
          <w:szCs w:val="21"/>
          <w:lang w:val="en-US" w:eastAsia="zh-CN"/>
        </w:rPr>
        <w:t>0-</w:t>
      </w:r>
      <w:r>
        <w:rPr>
          <w:rFonts w:hint="eastAsia" w:ascii="华文中宋" w:hAnsi="华文中宋" w:eastAsia="华文中宋" w:cs="华文中宋"/>
          <w:sz w:val="21"/>
          <w:szCs w:val="21"/>
          <w:lang w:eastAsia="zh-CN"/>
        </w:rPr>
        <w:t>10分）。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0"/>
        <w:textAlignment w:val="auto"/>
        <w:outlineLvl w:val="9"/>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安全阀对招标文件的性能响应程度（0-12分）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0"/>
        <w:textAlignment w:val="auto"/>
        <w:outlineLvl w:val="9"/>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Cs/>
          <w:spacing w:val="-6"/>
          <w:sz w:val="21"/>
          <w:szCs w:val="21"/>
          <w:highlight w:val="none"/>
          <w:lang w:val="en-US" w:eastAsia="zh-CN"/>
        </w:rPr>
        <w:t>质保期、售后服务承诺</w:t>
      </w:r>
      <w:r>
        <w:rPr>
          <w:rFonts w:hint="eastAsia" w:ascii="华文中宋" w:hAnsi="华文中宋" w:eastAsia="华文中宋" w:cs="华文中宋"/>
          <w:sz w:val="21"/>
          <w:szCs w:val="21"/>
          <w:highlight w:val="none"/>
        </w:rPr>
        <w:t>（</w:t>
      </w:r>
      <w:r>
        <w:rPr>
          <w:rFonts w:hint="eastAsia" w:ascii="华文中宋" w:hAnsi="华文中宋" w:eastAsia="华文中宋" w:cs="华文中宋"/>
          <w:sz w:val="21"/>
          <w:szCs w:val="21"/>
          <w:highlight w:val="none"/>
          <w:lang w:val="en-US" w:eastAsia="zh-CN"/>
        </w:rPr>
        <w:t>0-12</w:t>
      </w:r>
      <w:r>
        <w:rPr>
          <w:rFonts w:hint="eastAsia" w:ascii="华文中宋" w:hAnsi="华文中宋" w:eastAsia="华文中宋" w:cs="华文中宋"/>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投标人评标综合得分=商务分+技术资信分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3、其他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lang w:val="en-US" w:eastAsia="zh-CN"/>
        </w:rPr>
        <w:t xml:space="preserve">    </w:t>
      </w:r>
      <w:r>
        <w:rPr>
          <w:rFonts w:hint="eastAsia" w:ascii="华文中宋" w:hAnsi="华文中宋" w:eastAsia="华文中宋" w:cs="华文中宋"/>
          <w:sz w:val="21"/>
          <w:szCs w:val="21"/>
        </w:rPr>
        <w:t>1，2 项（企业技术标）由各评标专家分别打分，各投标单位的最终评分值取各专家评分的算术平均值。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b/>
          <w:bCs/>
          <w:sz w:val="21"/>
          <w:szCs w:val="21"/>
        </w:rPr>
        <w:t>4、</w:t>
      </w:r>
      <w:r>
        <w:rPr>
          <w:rFonts w:hint="eastAsia" w:ascii="华文中宋" w:hAnsi="华文中宋" w:eastAsia="华文中宋" w:cs="华文中宋"/>
          <w:sz w:val="21"/>
          <w:szCs w:val="21"/>
        </w:rPr>
        <w:t>技术标与商务标得分数相加后为各投标单位的总得分。总得分最高和次高的投标单位为第一、第二中标候选单位。总得分相同则按商务报价得分的高低顺序排名次，高的为第一中标候选人。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b/>
          <w:bCs/>
          <w:sz w:val="21"/>
          <w:szCs w:val="21"/>
        </w:rPr>
        <w:t>5、</w:t>
      </w:r>
      <w:r>
        <w:rPr>
          <w:rFonts w:hint="eastAsia" w:ascii="华文中宋" w:hAnsi="华文中宋" w:eastAsia="华文中宋" w:cs="华文中宋"/>
          <w:sz w:val="21"/>
          <w:szCs w:val="21"/>
        </w:rPr>
        <w:t>本次采购中标单位的供货定价：中标单位的综合单价为本次采购的中标单价，总价按每批供货量乘中标综合单价计算。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pPr>
    </w:p>
    <w:tbl>
      <w:tblPr>
        <w:tblStyle w:val="11"/>
        <w:tblW w:w="10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089"/>
        <w:gridCol w:w="7235"/>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300" w:type="dxa"/>
            <w:gridSpan w:val="4"/>
            <w:vAlign w:val="center"/>
          </w:tcPr>
          <w:p>
            <w:pPr>
              <w:jc w:val="center"/>
              <w:rPr>
                <w:rFonts w:hint="eastAsia" w:ascii="华文中宋" w:hAnsi="华文中宋" w:eastAsia="华文中宋" w:cs="华文中宋"/>
                <w:b/>
                <w:sz w:val="21"/>
                <w:szCs w:val="21"/>
                <w:highlight w:val="none"/>
              </w:rPr>
            </w:pPr>
            <w:r>
              <w:rPr>
                <w:rFonts w:hint="eastAsia" w:ascii="华文中宋" w:hAnsi="华文中宋" w:eastAsia="华文中宋" w:cs="华文中宋"/>
                <w:b/>
                <w:bCs/>
                <w:sz w:val="21"/>
                <w:szCs w:val="21"/>
              </w:rPr>
              <w:t>技术资信分</w:t>
            </w:r>
            <w:r>
              <w:rPr>
                <w:rFonts w:hint="eastAsia" w:ascii="华文中宋" w:hAnsi="华文中宋" w:eastAsia="华文中宋" w:cs="华文中宋"/>
                <w:b/>
                <w:bCs/>
                <w:sz w:val="21"/>
                <w:szCs w:val="21"/>
                <w:lang w:val="en-US" w:eastAsia="zh-CN"/>
              </w:rPr>
              <w:t>50</w:t>
            </w:r>
            <w:r>
              <w:rPr>
                <w:rFonts w:hint="eastAsia" w:ascii="华文中宋" w:hAnsi="华文中宋" w:eastAsia="华文中宋" w:cs="华文中宋"/>
                <w:b/>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282" w:type="dxa"/>
            <w:vAlign w:val="center"/>
          </w:tcPr>
          <w:p>
            <w:pPr>
              <w:spacing w:line="288" w:lineRule="auto"/>
              <w:jc w:val="both"/>
              <w:textAlignment w:val="baseline"/>
              <w:rPr>
                <w:rFonts w:hint="eastAsia" w:ascii="华文中宋" w:hAnsi="华文中宋" w:eastAsia="华文中宋" w:cs="华文中宋"/>
                <w:b/>
                <w:sz w:val="21"/>
                <w:szCs w:val="21"/>
                <w:highlight w:val="none"/>
              </w:rPr>
            </w:pPr>
            <w:r>
              <w:rPr>
                <w:rFonts w:hint="eastAsia" w:ascii="华文中宋" w:hAnsi="华文中宋" w:eastAsia="华文中宋" w:cs="华文中宋"/>
                <w:b/>
                <w:sz w:val="21"/>
                <w:szCs w:val="21"/>
                <w:highlight w:val="none"/>
              </w:rPr>
              <w:t>评分项目</w:t>
            </w:r>
          </w:p>
        </w:tc>
        <w:tc>
          <w:tcPr>
            <w:tcW w:w="1089" w:type="dxa"/>
            <w:vAlign w:val="center"/>
          </w:tcPr>
          <w:p>
            <w:pPr>
              <w:spacing w:line="288" w:lineRule="auto"/>
              <w:jc w:val="center"/>
              <w:textAlignment w:val="baseline"/>
              <w:rPr>
                <w:rFonts w:hint="eastAsia" w:ascii="华文中宋" w:hAnsi="华文中宋" w:eastAsia="华文中宋" w:cs="华文中宋"/>
                <w:b/>
                <w:sz w:val="21"/>
                <w:szCs w:val="21"/>
                <w:highlight w:val="none"/>
              </w:rPr>
            </w:pPr>
            <w:r>
              <w:rPr>
                <w:rFonts w:hint="eastAsia" w:ascii="华文中宋" w:hAnsi="华文中宋" w:eastAsia="华文中宋" w:cs="华文中宋"/>
                <w:b/>
                <w:sz w:val="21"/>
                <w:szCs w:val="21"/>
                <w:highlight w:val="none"/>
              </w:rPr>
              <w:t>分值</w:t>
            </w:r>
          </w:p>
        </w:tc>
        <w:tc>
          <w:tcPr>
            <w:tcW w:w="7235" w:type="dxa"/>
            <w:vAlign w:val="center"/>
          </w:tcPr>
          <w:p>
            <w:pPr>
              <w:spacing w:line="288" w:lineRule="auto"/>
              <w:ind w:firstLine="560" w:firstLineChars="0"/>
              <w:jc w:val="center"/>
              <w:textAlignment w:val="baseline"/>
              <w:rPr>
                <w:rFonts w:hint="eastAsia" w:ascii="华文中宋" w:hAnsi="华文中宋" w:eastAsia="华文中宋" w:cs="华文中宋"/>
                <w:b/>
                <w:sz w:val="21"/>
                <w:szCs w:val="21"/>
                <w:highlight w:val="none"/>
              </w:rPr>
            </w:pPr>
            <w:r>
              <w:rPr>
                <w:rFonts w:hint="eastAsia" w:ascii="华文中宋" w:hAnsi="华文中宋" w:eastAsia="华文中宋" w:cs="华文中宋"/>
                <w:b/>
                <w:sz w:val="21"/>
                <w:szCs w:val="21"/>
                <w:highlight w:val="none"/>
              </w:rPr>
              <w:t>评标要点及说明</w:t>
            </w:r>
          </w:p>
        </w:tc>
        <w:tc>
          <w:tcPr>
            <w:tcW w:w="694" w:type="dxa"/>
            <w:vAlign w:val="center"/>
          </w:tcPr>
          <w:p>
            <w:pPr>
              <w:spacing w:line="288" w:lineRule="auto"/>
              <w:jc w:val="both"/>
              <w:textAlignment w:val="baseline"/>
              <w:rPr>
                <w:rFonts w:hint="eastAsia" w:ascii="华文中宋" w:hAnsi="华文中宋" w:eastAsia="华文中宋" w:cs="华文中宋"/>
                <w:b/>
                <w:sz w:val="21"/>
                <w:szCs w:val="21"/>
                <w:highlight w:val="none"/>
                <w:lang w:val="en-US" w:eastAsia="zh-CN"/>
              </w:rPr>
            </w:pPr>
            <w:r>
              <w:rPr>
                <w:rFonts w:hint="eastAsia" w:ascii="华文中宋" w:hAnsi="华文中宋" w:eastAsia="华文中宋" w:cs="华文中宋"/>
                <w:b/>
                <w:sz w:val="21"/>
                <w:szCs w:val="21"/>
                <w:highlight w:val="no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hint="eastAsia" w:ascii="华文中宋" w:hAnsi="华文中宋" w:eastAsia="华文中宋" w:cs="华文中宋"/>
                <w:sz w:val="21"/>
                <w:szCs w:val="21"/>
                <w:highlight w:val="none"/>
              </w:rPr>
            </w:pPr>
            <w:r>
              <w:rPr>
                <w:rFonts w:hint="eastAsia" w:ascii="华文中宋" w:hAnsi="华文中宋" w:eastAsia="华文中宋" w:cs="华文中宋"/>
                <w:sz w:val="21"/>
                <w:szCs w:val="21"/>
                <w:highlight w:val="none"/>
                <w:lang w:val="en-US" w:eastAsia="zh-CN"/>
              </w:rPr>
              <w:t>制造厂品牌</w:t>
            </w:r>
            <w:r>
              <w:rPr>
                <w:rFonts w:hint="eastAsia" w:ascii="华文中宋" w:hAnsi="华文中宋" w:eastAsia="华文中宋" w:cs="华文中宋"/>
                <w:sz w:val="21"/>
                <w:szCs w:val="21"/>
                <w:highlight w:val="none"/>
              </w:rPr>
              <w:t>（</w:t>
            </w:r>
            <w:r>
              <w:rPr>
                <w:rFonts w:hint="eastAsia" w:ascii="华文中宋" w:hAnsi="华文中宋" w:eastAsia="华文中宋" w:cs="华文中宋"/>
                <w:sz w:val="21"/>
                <w:szCs w:val="21"/>
                <w:highlight w:val="none"/>
                <w:lang w:val="en-US" w:eastAsia="zh-CN"/>
              </w:rPr>
              <w:t>6</w:t>
            </w:r>
            <w:r>
              <w:rPr>
                <w:rFonts w:hint="eastAsia" w:ascii="华文中宋" w:hAnsi="华文中宋" w:eastAsia="华文中宋" w:cs="华文中宋"/>
                <w:sz w:val="21"/>
                <w:szCs w:val="21"/>
                <w:highlight w:val="none"/>
              </w:rPr>
              <w:t>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eastAsia="zh-CN"/>
              </w:rPr>
            </w:pPr>
            <w:r>
              <w:rPr>
                <w:rFonts w:hint="eastAsia" w:ascii="华文中宋" w:hAnsi="华文中宋" w:eastAsia="华文中宋" w:cs="华文中宋"/>
                <w:sz w:val="21"/>
                <w:szCs w:val="21"/>
                <w:highlight w:val="none"/>
                <w:lang w:val="en-US" w:eastAsia="zh-CN"/>
              </w:rPr>
              <w:t>6</w:t>
            </w:r>
          </w:p>
        </w:tc>
        <w:tc>
          <w:tcPr>
            <w:tcW w:w="7235" w:type="dxa"/>
            <w:vAlign w:val="center"/>
          </w:tcPr>
          <w:p>
            <w:pPr>
              <w:spacing w:line="288" w:lineRule="auto"/>
              <w:rPr>
                <w:rFonts w:hint="eastAsia" w:ascii="华文中宋" w:hAnsi="华文中宋" w:eastAsia="华文中宋" w:cs="华文中宋"/>
                <w:sz w:val="21"/>
                <w:szCs w:val="21"/>
                <w:highlight w:val="none"/>
              </w:rPr>
            </w:pPr>
            <w:r>
              <w:rPr>
                <w:rFonts w:hint="eastAsia" w:ascii="华文中宋" w:hAnsi="华文中宋" w:eastAsia="华文中宋" w:cs="华文中宋"/>
                <w:sz w:val="21"/>
                <w:szCs w:val="21"/>
                <w:highlight w:val="none"/>
              </w:rPr>
              <w:t>1、</w:t>
            </w:r>
            <w:r>
              <w:rPr>
                <w:rFonts w:hint="eastAsia" w:ascii="华文中宋" w:hAnsi="华文中宋" w:eastAsia="华文中宋" w:cs="华文中宋"/>
                <w:sz w:val="21"/>
                <w:szCs w:val="21"/>
                <w:highlight w:val="none"/>
                <w:lang w:val="en-US" w:eastAsia="zh-CN"/>
              </w:rPr>
              <w:t>国际、国内知名品牌，根据品牌的知名度、美誉度排序，知名得4-6分，良好得2-3分，一般得0-1分。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安全阀业绩</w:t>
            </w:r>
            <w:r>
              <w:rPr>
                <w:rFonts w:hint="eastAsia" w:ascii="华文中宋" w:hAnsi="华文中宋" w:eastAsia="华文中宋" w:cs="华文中宋"/>
                <w:sz w:val="21"/>
                <w:szCs w:val="21"/>
                <w:highlight w:val="none"/>
              </w:rPr>
              <w:t>（</w:t>
            </w:r>
            <w:r>
              <w:rPr>
                <w:rFonts w:hint="eastAsia" w:ascii="华文中宋" w:hAnsi="华文中宋" w:eastAsia="华文中宋" w:cs="华文中宋"/>
                <w:sz w:val="21"/>
                <w:szCs w:val="21"/>
                <w:highlight w:val="none"/>
                <w:lang w:val="en-US" w:eastAsia="zh-CN"/>
              </w:rPr>
              <w:t>10</w:t>
            </w:r>
            <w:r>
              <w:rPr>
                <w:rFonts w:hint="eastAsia" w:ascii="华文中宋" w:hAnsi="华文中宋" w:eastAsia="华文中宋" w:cs="华文中宋"/>
                <w:sz w:val="21"/>
                <w:szCs w:val="21"/>
                <w:highlight w:val="none"/>
              </w:rPr>
              <w:t>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10</w:t>
            </w:r>
          </w:p>
        </w:tc>
        <w:tc>
          <w:tcPr>
            <w:tcW w:w="7235" w:type="dxa"/>
            <w:vAlign w:val="center"/>
          </w:tcPr>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自2015年1月1日至今，在浙江省内出售类似规格、材质安全阀，用户运行评价良好，无质量问题的，每个项目得2分，最高得10分。投标时须随标书提供供货合同和与之相对应的用户运行良好、无质量问题的评价等证明文件复印件加盖投标人公章，否则不得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主要部件材质</w:t>
            </w:r>
          </w:p>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（10分）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10</w:t>
            </w:r>
          </w:p>
        </w:tc>
        <w:tc>
          <w:tcPr>
            <w:tcW w:w="7235" w:type="dxa"/>
            <w:vAlign w:val="center"/>
          </w:tcPr>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阀杆、螺栓、密封、螺母等材质必须满足招标文件技术要求，评委根据投标人主要部件材质的优劣、阀门性能的好坏进行评分，优秀得7-10分，良好得4-6分，一般得0-3分。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安全阀对招标文件的性能响应程度（12分）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12</w:t>
            </w:r>
          </w:p>
        </w:tc>
        <w:tc>
          <w:tcPr>
            <w:tcW w:w="7235" w:type="dxa"/>
            <w:vAlign w:val="center"/>
          </w:tcPr>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评委根据投标产品对招标技术要求的相应和性能优劣进行评分，优秀得9-12分，良好得5-8分，一般得0-4分。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1282" w:type="dxa"/>
            <w:vMerge w:val="restart"/>
            <w:vAlign w:val="center"/>
          </w:tcPr>
          <w:p>
            <w:pPr>
              <w:spacing w:line="288" w:lineRule="auto"/>
              <w:jc w:val="center"/>
              <w:rPr>
                <w:rFonts w:hint="eastAsia" w:ascii="华文中宋" w:hAnsi="华文中宋" w:eastAsia="华文中宋" w:cs="华文中宋"/>
                <w:sz w:val="21"/>
                <w:szCs w:val="21"/>
                <w:highlight w:val="none"/>
              </w:rPr>
            </w:pPr>
            <w:r>
              <w:rPr>
                <w:rFonts w:hint="eastAsia" w:ascii="华文中宋" w:hAnsi="华文中宋" w:eastAsia="华文中宋" w:cs="华文中宋"/>
                <w:bCs/>
                <w:spacing w:val="-6"/>
                <w:sz w:val="21"/>
                <w:szCs w:val="21"/>
                <w:highlight w:val="none"/>
                <w:lang w:val="en-US" w:eastAsia="zh-CN"/>
              </w:rPr>
              <w:t>质保期、售后服务承诺</w:t>
            </w:r>
            <w:r>
              <w:rPr>
                <w:rFonts w:hint="eastAsia" w:ascii="华文中宋" w:hAnsi="华文中宋" w:eastAsia="华文中宋" w:cs="华文中宋"/>
                <w:sz w:val="21"/>
                <w:szCs w:val="21"/>
                <w:highlight w:val="none"/>
              </w:rPr>
              <w:t>（</w:t>
            </w:r>
            <w:r>
              <w:rPr>
                <w:rFonts w:hint="eastAsia" w:ascii="华文中宋" w:hAnsi="华文中宋" w:eastAsia="华文中宋" w:cs="华文中宋"/>
                <w:sz w:val="21"/>
                <w:szCs w:val="21"/>
                <w:highlight w:val="none"/>
                <w:lang w:val="en-US" w:eastAsia="zh-CN"/>
              </w:rPr>
              <w:t>12</w:t>
            </w:r>
            <w:r>
              <w:rPr>
                <w:rFonts w:hint="eastAsia" w:ascii="华文中宋" w:hAnsi="华文中宋" w:eastAsia="华文中宋" w:cs="华文中宋"/>
                <w:sz w:val="21"/>
                <w:szCs w:val="21"/>
                <w:highlight w:val="none"/>
              </w:rPr>
              <w:t>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6</w:t>
            </w:r>
          </w:p>
        </w:tc>
        <w:tc>
          <w:tcPr>
            <w:tcW w:w="7235" w:type="dxa"/>
            <w:vAlign w:val="center"/>
          </w:tcPr>
          <w:p>
            <w:pPr>
              <w:spacing w:line="288" w:lineRule="auto"/>
              <w:rPr>
                <w:rFonts w:hint="eastAsia" w:ascii="华文中宋" w:hAnsi="华文中宋" w:eastAsia="华文中宋" w:cs="华文中宋"/>
                <w:sz w:val="21"/>
                <w:szCs w:val="21"/>
                <w:highlight w:val="none"/>
              </w:rPr>
            </w:pPr>
            <w:r>
              <w:rPr>
                <w:rFonts w:hint="eastAsia" w:ascii="华文中宋" w:hAnsi="华文中宋" w:eastAsia="华文中宋" w:cs="华文中宋"/>
                <w:sz w:val="21"/>
                <w:szCs w:val="21"/>
                <w:highlight w:val="none"/>
                <w:lang w:val="en-US" w:eastAsia="zh-CN"/>
              </w:rPr>
              <w:t>响应招标文件</w:t>
            </w:r>
            <w:r>
              <w:rPr>
                <w:rFonts w:hint="eastAsia" w:ascii="华文中宋" w:hAnsi="华文中宋" w:eastAsia="华文中宋" w:cs="华文中宋"/>
                <w:sz w:val="21"/>
                <w:szCs w:val="21"/>
                <w:highlight w:val="none"/>
              </w:rPr>
              <w:t>服务承诺0-</w:t>
            </w:r>
            <w:r>
              <w:rPr>
                <w:rFonts w:hint="eastAsia" w:ascii="华文中宋" w:hAnsi="华文中宋" w:eastAsia="华文中宋" w:cs="华文中宋"/>
                <w:sz w:val="21"/>
                <w:szCs w:val="21"/>
                <w:highlight w:val="none"/>
                <w:lang w:val="en-US" w:eastAsia="zh-CN"/>
              </w:rPr>
              <w:t>6</w:t>
            </w:r>
            <w:r>
              <w:rPr>
                <w:rFonts w:hint="eastAsia" w:ascii="华文中宋" w:hAnsi="华文中宋" w:eastAsia="华文中宋" w:cs="华文中宋"/>
                <w:sz w:val="21"/>
                <w:szCs w:val="21"/>
                <w:highlight w:val="none"/>
              </w:rPr>
              <w:t>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82" w:type="dxa"/>
            <w:vMerge w:val="continue"/>
            <w:vAlign w:val="center"/>
          </w:tcPr>
          <w:p>
            <w:pPr>
              <w:spacing w:line="288" w:lineRule="auto"/>
              <w:jc w:val="center"/>
              <w:rPr>
                <w:rFonts w:hint="eastAsia" w:ascii="华文中宋" w:hAnsi="华文中宋" w:eastAsia="华文中宋" w:cs="华文中宋"/>
                <w:bCs/>
                <w:spacing w:val="-6"/>
                <w:sz w:val="21"/>
                <w:szCs w:val="21"/>
                <w:highlight w:val="none"/>
                <w:lang w:val="en-US" w:eastAsia="zh-CN"/>
              </w:rPr>
            </w:pP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6</w:t>
            </w:r>
          </w:p>
        </w:tc>
        <w:tc>
          <w:tcPr>
            <w:tcW w:w="7235" w:type="dxa"/>
            <w:vAlign w:val="center"/>
          </w:tcPr>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rPr>
              <w:t>详细完整</w:t>
            </w:r>
            <w:r>
              <w:rPr>
                <w:rFonts w:hint="eastAsia" w:ascii="华文中宋" w:hAnsi="华文中宋" w:eastAsia="华文中宋" w:cs="华文中宋"/>
                <w:sz w:val="21"/>
                <w:szCs w:val="21"/>
                <w:highlight w:val="none"/>
                <w:lang w:val="en-US" w:eastAsia="zh-CN"/>
              </w:rPr>
              <w:t>的</w:t>
            </w:r>
            <w:r>
              <w:rPr>
                <w:rFonts w:hint="eastAsia" w:ascii="华文中宋" w:hAnsi="华文中宋" w:eastAsia="华文中宋" w:cs="华文中宋"/>
                <w:sz w:val="21"/>
                <w:szCs w:val="21"/>
                <w:highlight w:val="none"/>
              </w:rPr>
              <w:t>售后服务措施和方案（包括服务措施0-</w:t>
            </w:r>
            <w:r>
              <w:rPr>
                <w:rFonts w:hint="eastAsia" w:ascii="华文中宋" w:hAnsi="华文中宋" w:eastAsia="华文中宋" w:cs="华文中宋"/>
                <w:sz w:val="21"/>
                <w:szCs w:val="21"/>
                <w:highlight w:val="none"/>
                <w:lang w:val="en-US" w:eastAsia="zh-CN"/>
              </w:rPr>
              <w:t>2</w:t>
            </w:r>
            <w:r>
              <w:rPr>
                <w:rFonts w:hint="eastAsia" w:ascii="华文中宋" w:hAnsi="华文中宋" w:eastAsia="华文中宋" w:cs="华文中宋"/>
                <w:sz w:val="21"/>
                <w:szCs w:val="21"/>
                <w:highlight w:val="none"/>
              </w:rPr>
              <w:t>分 、本地化服务0-</w:t>
            </w:r>
            <w:r>
              <w:rPr>
                <w:rFonts w:hint="eastAsia" w:ascii="华文中宋" w:hAnsi="华文中宋" w:eastAsia="华文中宋" w:cs="华文中宋"/>
                <w:sz w:val="21"/>
                <w:szCs w:val="21"/>
                <w:highlight w:val="none"/>
                <w:lang w:val="en-US" w:eastAsia="zh-CN"/>
              </w:rPr>
              <w:t>2</w:t>
            </w:r>
            <w:r>
              <w:rPr>
                <w:rFonts w:hint="eastAsia" w:ascii="华文中宋" w:hAnsi="华文中宋" w:eastAsia="华文中宋" w:cs="华文中宋"/>
                <w:sz w:val="21"/>
                <w:szCs w:val="21"/>
                <w:highlight w:val="none"/>
              </w:rPr>
              <w:t>分</w:t>
            </w:r>
            <w:r>
              <w:rPr>
                <w:rFonts w:hint="eastAsia" w:ascii="华文中宋" w:hAnsi="华文中宋" w:eastAsia="华文中宋" w:cs="华文中宋"/>
                <w:sz w:val="21"/>
                <w:szCs w:val="21"/>
                <w:highlight w:val="none"/>
                <w:lang w:eastAsia="zh-CN"/>
              </w:rPr>
              <w:t>、</w:t>
            </w:r>
            <w:r>
              <w:rPr>
                <w:rFonts w:hint="eastAsia" w:ascii="华文中宋" w:hAnsi="华文中宋" w:eastAsia="华文中宋" w:cs="华文中宋"/>
                <w:sz w:val="21"/>
                <w:szCs w:val="21"/>
                <w:highlight w:val="none"/>
                <w:lang w:val="en-US" w:eastAsia="zh-CN"/>
              </w:rPr>
              <w:t>备品备件供应的及时性和可靠性0-2分</w:t>
            </w:r>
            <w:r>
              <w:rPr>
                <w:rFonts w:hint="eastAsia" w:ascii="华文中宋" w:hAnsi="华文中宋" w:eastAsia="华文中宋" w:cs="华文中宋"/>
                <w:sz w:val="21"/>
                <w:szCs w:val="21"/>
                <w:highlight w:val="none"/>
              </w:rPr>
              <w:t>）；</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9606" w:type="dxa"/>
            <w:gridSpan w:val="3"/>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 xml:space="preserve">      总分（50分）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0"/>
      </w:rPr>
    </w:pPr>
    <w:r>
      <w:fldChar w:fldCharType="begin"/>
    </w:r>
    <w:r>
      <w:rPr>
        <w:rStyle w:val="10"/>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0"/>
      </w:rPr>
      <w:instrText xml:space="preserve"> PAGE </w:instrText>
    </w:r>
    <w:r>
      <w:fldChar w:fldCharType="separate"/>
    </w:r>
    <w:r>
      <w:rPr>
        <w:rStyle w:val="10"/>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72A33"/>
    <w:multiLevelType w:val="singleLevel"/>
    <w:tmpl w:val="59672A3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7C904D2"/>
    <w:rsid w:val="07CD72E2"/>
    <w:rsid w:val="09AC7B34"/>
    <w:rsid w:val="0E02431E"/>
    <w:rsid w:val="0E810BFA"/>
    <w:rsid w:val="13AA5AD0"/>
    <w:rsid w:val="13B15B0E"/>
    <w:rsid w:val="1E755027"/>
    <w:rsid w:val="25F76C1E"/>
    <w:rsid w:val="26212EF7"/>
    <w:rsid w:val="27622B4F"/>
    <w:rsid w:val="2BF96F6F"/>
    <w:rsid w:val="2D6B50D0"/>
    <w:rsid w:val="347D0A86"/>
    <w:rsid w:val="38EF7149"/>
    <w:rsid w:val="38FC7F3D"/>
    <w:rsid w:val="3A140A17"/>
    <w:rsid w:val="41BD3EFC"/>
    <w:rsid w:val="49D32A72"/>
    <w:rsid w:val="4AAC6732"/>
    <w:rsid w:val="57E906EE"/>
    <w:rsid w:val="65864BA4"/>
    <w:rsid w:val="672E6658"/>
    <w:rsid w:val="67564F5E"/>
    <w:rsid w:val="67832C8C"/>
    <w:rsid w:val="7D1619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7">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Hami猫不迷糊</cp:lastModifiedBy>
  <cp:lastPrinted>2018-01-18T06:36:00Z</cp:lastPrinted>
  <dcterms:modified xsi:type="dcterms:W3CDTF">2018-03-08T02:10:53Z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